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autoSpaceDE w:val="0"/>
        <w:autoSpaceDN w:val="0"/>
        <w:adjustRightInd w:val="0"/>
        <w:spacing w:line="700" w:lineRule="exact"/>
        <w:jc w:val="center"/>
        <w:rPr>
          <w:rFonts w:ascii="方正小标宋简体" w:eastAsia="方正小标宋简体"/>
          <w:kern w:val="0"/>
          <w:sz w:val="44"/>
        </w:rPr>
      </w:pPr>
      <w:r>
        <w:rPr>
          <w:rFonts w:hint="eastAsia" w:ascii="方正小标宋简体" w:eastAsia="方正小标宋简体"/>
          <w:kern w:val="0"/>
          <w:sz w:val="44"/>
        </w:rPr>
        <w:t>泉州市洛江区文化体育和旅游局（函）</w:t>
      </w:r>
    </w:p>
    <w:p>
      <w:pPr>
        <w:autoSpaceDE w:val="0"/>
        <w:autoSpaceDN w:val="0"/>
        <w:adjustRightInd w:val="0"/>
        <w:snapToGrid w:val="0"/>
        <w:spacing w:beforeLines="50" w:afterLines="50"/>
        <w:jc w:val="right"/>
        <w:rPr>
          <w:rFonts w:ascii="仿宋_GB2312" w:eastAsia="仿宋_GB2312"/>
          <w:kern w:val="0"/>
          <w:sz w:val="32"/>
        </w:rPr>
      </w:pPr>
      <w:r>
        <w:rPr>
          <w:rFonts w:hint="eastAsia" w:ascii="仿宋_GB2312" w:eastAsia="仿宋_GB2312"/>
          <w:kern w:val="0"/>
          <w:sz w:val="32"/>
          <w:lang w:eastAsia="zh-CN"/>
        </w:rPr>
        <w:t>泉洛政文体旅</w:t>
      </w:r>
      <w:r>
        <w:rPr>
          <w:rFonts w:hint="eastAsia" w:ascii="仿宋_GB2312" w:eastAsia="仿宋_GB2312"/>
          <w:kern w:val="0"/>
          <w:sz w:val="32"/>
        </w:rPr>
        <w:t>函〔</w:t>
      </w:r>
      <w:r>
        <w:rPr>
          <w:rFonts w:ascii="仿宋_GB2312" w:eastAsia="仿宋_GB2312"/>
          <w:kern w:val="0"/>
          <w:sz w:val="32"/>
        </w:rPr>
        <w:t>202</w:t>
      </w:r>
      <w:r>
        <w:rPr>
          <w:rFonts w:hint="eastAsia" w:ascii="仿宋_GB2312" w:eastAsia="仿宋_GB2312"/>
          <w:kern w:val="0"/>
          <w:sz w:val="32"/>
          <w:lang w:val="en-US" w:eastAsia="zh-CN"/>
        </w:rPr>
        <w:t>4</w:t>
      </w:r>
      <w:r>
        <w:rPr>
          <w:rFonts w:hint="eastAsia" w:ascii="仿宋_GB2312" w:eastAsia="仿宋_GB2312"/>
          <w:kern w:val="0"/>
          <w:sz w:val="32"/>
        </w:rPr>
        <w:t>〕</w:t>
      </w:r>
      <w:r>
        <w:rPr>
          <w:rFonts w:hint="eastAsia" w:ascii="仿宋_GB2312" w:eastAsia="仿宋_GB2312"/>
          <w:kern w:val="0"/>
          <w:sz w:val="32"/>
          <w:lang w:val="en-US" w:eastAsia="zh-CN"/>
        </w:rPr>
        <w:t>17</w:t>
      </w:r>
      <w:r>
        <w:rPr>
          <w:rFonts w:hint="eastAsia" w:ascii="仿宋_GB2312" w:eastAsia="仿宋_GB2312"/>
          <w:kern w:val="0"/>
          <w:sz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方正小标宋简体" w:eastAsia="方正小标宋简体"/>
          <w:kern w:val="0"/>
          <w:sz w:val="44"/>
          <w:szCs w:val="44"/>
        </w:rPr>
      </w:pPr>
      <w:bookmarkStart w:id="0" w:name="_GoBack"/>
      <w:r>
        <w:rPr>
          <w:rFonts w:hint="eastAsia" w:ascii="方正小标宋简体" w:eastAsia="方正小标宋简体"/>
          <w:kern w:val="0"/>
          <w:sz w:val="44"/>
          <w:szCs w:val="44"/>
        </w:rPr>
        <w:t>关于洛江区六届人大</w:t>
      </w:r>
      <w:r>
        <w:rPr>
          <w:rFonts w:hint="eastAsia" w:ascii="方正小标宋简体" w:eastAsia="方正小标宋简体"/>
          <w:kern w:val="0"/>
          <w:sz w:val="44"/>
          <w:szCs w:val="44"/>
          <w:lang w:eastAsia="zh-CN"/>
        </w:rPr>
        <w:t>三</w:t>
      </w:r>
      <w:r>
        <w:rPr>
          <w:rFonts w:hint="eastAsia" w:ascii="方正小标宋简体" w:eastAsia="方正小标宋简体"/>
          <w:kern w:val="0"/>
          <w:sz w:val="44"/>
          <w:szCs w:val="44"/>
        </w:rPr>
        <w:t>次会议</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eastAsia="方正小标宋简体"/>
          <w:kern w:val="0"/>
          <w:sz w:val="44"/>
          <w:szCs w:val="44"/>
        </w:rPr>
      </w:pPr>
      <w:r>
        <w:rPr>
          <w:rFonts w:hint="eastAsia" w:ascii="方正小标宋简体" w:eastAsia="方正小标宋简体"/>
          <w:kern w:val="0"/>
          <w:sz w:val="44"/>
          <w:szCs w:val="44"/>
        </w:rPr>
        <w:t>第</w:t>
      </w:r>
      <w:r>
        <w:rPr>
          <w:rFonts w:hint="eastAsia" w:ascii="方正小标宋简体" w:eastAsia="方正小标宋简体"/>
          <w:kern w:val="0"/>
          <w:sz w:val="44"/>
          <w:szCs w:val="44"/>
          <w:lang w:val="en-US" w:eastAsia="zh-CN"/>
        </w:rPr>
        <w:t>6043</w:t>
      </w:r>
      <w:r>
        <w:rPr>
          <w:rFonts w:hint="eastAsia" w:ascii="方正小标宋简体" w:eastAsia="方正小标宋简体"/>
          <w:kern w:val="0"/>
          <w:sz w:val="44"/>
          <w:szCs w:val="44"/>
        </w:rPr>
        <w:t>号建议答复的函</w:t>
      </w:r>
    </w:p>
    <w:bookmarkEnd w:id="0"/>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方正小标宋简体" w:eastAsia="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kern w:val="0"/>
          <w:sz w:val="32"/>
        </w:rPr>
      </w:pPr>
      <w:r>
        <w:rPr>
          <w:rFonts w:hint="eastAsia" w:ascii="仿宋_GB2312" w:eastAsia="仿宋_GB2312"/>
          <w:kern w:val="0"/>
          <w:sz w:val="32"/>
          <w:lang w:eastAsia="zh-CN"/>
        </w:rPr>
        <w:t>王琴芳</w:t>
      </w:r>
      <w:r>
        <w:rPr>
          <w:rFonts w:hint="eastAsia" w:ascii="仿宋_GB2312" w:eastAsia="仿宋_GB2312"/>
          <w:kern w:val="0"/>
          <w:sz w:val="32"/>
        </w:rPr>
        <w:t>（等</w:t>
      </w:r>
      <w:r>
        <w:rPr>
          <w:rFonts w:hint="eastAsia" w:ascii="仿宋_GB2312" w:eastAsia="仿宋_GB2312"/>
          <w:kern w:val="0"/>
          <w:sz w:val="32"/>
          <w:lang w:val="en-US" w:eastAsia="zh-CN"/>
        </w:rPr>
        <w:t>3</w:t>
      </w:r>
      <w:r>
        <w:rPr>
          <w:rFonts w:hint="eastAsia" w:ascii="仿宋_GB2312" w:eastAsia="仿宋_GB2312"/>
          <w:kern w:val="0"/>
          <w:sz w:val="32"/>
        </w:rPr>
        <w:t>位）代表：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kern w:val="0"/>
          <w:sz w:val="32"/>
        </w:rPr>
      </w:pPr>
      <w:r>
        <w:rPr>
          <w:rFonts w:hint="eastAsia" w:ascii="仿宋_GB2312" w:eastAsia="仿宋_GB2312"/>
          <w:kern w:val="0"/>
          <w:sz w:val="32"/>
        </w:rPr>
        <w:t>你们提出的《关于</w:t>
      </w:r>
      <w:r>
        <w:rPr>
          <w:rFonts w:hint="eastAsia" w:ascii="仿宋_GB2312" w:eastAsia="仿宋_GB2312"/>
          <w:kern w:val="0"/>
          <w:sz w:val="32"/>
          <w:lang w:eastAsia="zh-CN"/>
        </w:rPr>
        <w:t>对虹山乡全域旅游进一步以景区化管理的</w:t>
      </w:r>
      <w:r>
        <w:rPr>
          <w:rFonts w:hint="eastAsia" w:ascii="仿宋_GB2312" w:eastAsia="仿宋_GB2312"/>
          <w:kern w:val="0"/>
          <w:sz w:val="32"/>
        </w:rPr>
        <w:t>建议》收悉。现答复如下：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eastAsia="仿宋_GB2312"/>
          <w:kern w:val="0"/>
          <w:sz w:val="32"/>
          <w:lang w:eastAsia="zh-CN"/>
        </w:rPr>
        <w:t>近年来，洛江区</w:t>
      </w:r>
      <w:r>
        <w:rPr>
          <w:rFonts w:hint="eastAsia" w:ascii="仿宋_GB2312" w:hAnsi="仿宋_GB2312" w:eastAsia="仿宋_GB2312" w:cs="仿宋_GB2312"/>
          <w:b w:val="0"/>
          <w:bCs w:val="0"/>
          <w:color w:val="auto"/>
          <w:sz w:val="32"/>
          <w:szCs w:val="32"/>
          <w:highlight w:val="none"/>
        </w:rPr>
        <w:t>借助青山绿水的生态优势，整合“名山、名桥、名人、名传说”的</w:t>
      </w:r>
      <w:r>
        <w:rPr>
          <w:rFonts w:hint="eastAsia" w:ascii="仿宋_GB2312" w:hAnsi="仿宋_GB2312" w:eastAsia="仿宋_GB2312" w:cs="仿宋_GB2312"/>
          <w:b w:val="0"/>
          <w:bCs w:val="0"/>
          <w:color w:val="auto"/>
          <w:sz w:val="32"/>
          <w:szCs w:val="32"/>
          <w:highlight w:val="none"/>
          <w:lang w:eastAsia="zh-CN"/>
        </w:rPr>
        <w:t>文旅</w:t>
      </w:r>
      <w:r>
        <w:rPr>
          <w:rFonts w:hint="eastAsia" w:ascii="仿宋_GB2312" w:hAnsi="仿宋_GB2312" w:eastAsia="仿宋_GB2312" w:cs="仿宋_GB2312"/>
          <w:b w:val="0"/>
          <w:bCs w:val="0"/>
          <w:color w:val="auto"/>
          <w:sz w:val="32"/>
          <w:szCs w:val="32"/>
          <w:highlight w:val="none"/>
        </w:rPr>
        <w:t>资源，借生态搭台、以文化赋能，唱响 “悠游洛江”文旅品牌，推动</w:t>
      </w:r>
      <w:r>
        <w:rPr>
          <w:rFonts w:hint="eastAsia" w:ascii="仿宋_GB2312" w:hAnsi="仿宋_GB2312" w:eastAsia="仿宋_GB2312" w:cs="仿宋_GB2312"/>
          <w:b w:val="0"/>
          <w:bCs w:val="0"/>
          <w:color w:val="auto"/>
          <w:sz w:val="32"/>
          <w:szCs w:val="32"/>
          <w:highlight w:val="none"/>
          <w:lang w:eastAsia="zh-CN"/>
        </w:rPr>
        <w:t>旅游业</w:t>
      </w:r>
      <w:r>
        <w:rPr>
          <w:rFonts w:hint="eastAsia" w:ascii="仿宋_GB2312" w:hAnsi="仿宋_GB2312" w:eastAsia="仿宋_GB2312" w:cs="仿宋_GB2312"/>
          <w:b w:val="0"/>
          <w:bCs w:val="0"/>
          <w:color w:val="auto"/>
          <w:sz w:val="32"/>
          <w:szCs w:val="32"/>
          <w:highlight w:val="none"/>
        </w:rPr>
        <w:t>高质量发展</w:t>
      </w:r>
      <w:r>
        <w:rPr>
          <w:rFonts w:hint="eastAsia" w:ascii="仿宋_GB2312" w:hAnsi="仿宋_GB2312" w:eastAsia="仿宋_GB2312" w:cs="仿宋_GB2312"/>
          <w:b w:val="0"/>
          <w:bCs w:val="0"/>
          <w:color w:val="auto"/>
          <w:sz w:val="32"/>
          <w:szCs w:val="32"/>
          <w:highlight w:val="none"/>
          <w:lang w:eastAsia="zh-CN"/>
        </w:rPr>
        <w:t>。其中虹山乡大力发展以“梧凤小镇彩虹之乡”为主题的全域旅游，形成了康养、农业、文化、旅游等产业融合发展的格局。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eastAsia="仿宋_GB2312"/>
          <w:b/>
          <w:bCs/>
          <w:kern w:val="0"/>
          <w:sz w:val="32"/>
          <w:lang w:eastAsia="zh-CN"/>
        </w:rPr>
        <w:t>一是</w:t>
      </w:r>
      <w:r>
        <w:rPr>
          <w:rFonts w:hint="eastAsia" w:ascii="仿宋_GB2312" w:hAnsi="仿宋_GB2312" w:eastAsia="仿宋_GB2312" w:cs="仿宋_GB2312"/>
          <w:b w:val="0"/>
          <w:bCs w:val="0"/>
          <w:color w:val="auto"/>
          <w:sz w:val="32"/>
          <w:szCs w:val="32"/>
          <w:highlight w:val="none"/>
          <w:lang w:eastAsia="zh-CN"/>
        </w:rPr>
        <w:t>统筹规划，推动虹山全域旅游发展。</w:t>
      </w:r>
      <w:r>
        <w:rPr>
          <w:rFonts w:hint="eastAsia" w:ascii="仿宋_GB2312" w:hAnsi="宋体" w:eastAsia="仿宋_GB2312"/>
          <w:b w:val="0"/>
          <w:bCs w:val="0"/>
          <w:color w:val="000000"/>
          <w:sz w:val="32"/>
          <w:szCs w:val="32"/>
          <w:lang w:val="en-US" w:eastAsia="zh-CN"/>
        </w:rPr>
        <w:t>合理规划文旅产业发展方向，</w:t>
      </w:r>
      <w:r>
        <w:rPr>
          <w:rFonts w:hint="eastAsia" w:ascii="仿宋_GB2312" w:hAnsi="宋体" w:eastAsia="仿宋_GB2312"/>
          <w:color w:val="000000"/>
          <w:sz w:val="32"/>
          <w:szCs w:val="32"/>
          <w:lang w:val="en-US" w:eastAsia="zh-CN"/>
        </w:rPr>
        <w:t>制定《洛江区“十四五”文化和旅游发展专项规划》，结合洛江区发展现状，提出未来5年洛江区文</w:t>
      </w:r>
      <w:r>
        <w:rPr>
          <w:rFonts w:hint="eastAsia" w:ascii="仿宋_GB2312" w:hAnsi="宋体" w:eastAsia="仿宋_GB2312"/>
          <w:b w:val="0"/>
          <w:bCs w:val="0"/>
          <w:color w:val="000000"/>
          <w:sz w:val="32"/>
          <w:szCs w:val="32"/>
          <w:lang w:val="en-US" w:eastAsia="zh-CN"/>
        </w:rPr>
        <w:t>化和旅游发展的总体要求、重点任务和实施举措。针对不同镇域特点规划特色功能区，全力打造虹山乡全域旅游特色板块，统筹全乡游客服务中心、乡村旅游点、农业旅游点、文化场所、项目建设及各类要素整合，进一步巩固和提升虹山全域旅游发展格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bCs/>
          <w:color w:val="000000"/>
          <w:sz w:val="32"/>
          <w:szCs w:val="32"/>
          <w:lang w:val="en-US" w:eastAsia="zh-CN"/>
        </w:rPr>
        <w:t>二是</w:t>
      </w:r>
      <w:r>
        <w:rPr>
          <w:rFonts w:hint="eastAsia" w:ascii="仿宋_GB2312" w:hAnsi="宋体" w:eastAsia="仿宋_GB2312" w:cs="Times New Roman"/>
          <w:b w:val="0"/>
          <w:bCs w:val="0"/>
          <w:color w:val="000000"/>
          <w:sz w:val="32"/>
          <w:szCs w:val="32"/>
          <w:lang w:val="en-US" w:eastAsia="zh-CN"/>
        </w:rPr>
        <w:t>完善设施建设，激发乡村旅游生命力。依托为民办实事项目，建设提升虹山乡旅游厕所、游客服务中心、标识牌，实施文化空间项目。指导虹山乡完善旅游基础及配套设施，在虹山入口至瀑布景区设置旅游标识牌；对辖区主干道进行沥青（“白改黑”）改造，并增设交通标识标线及安全防护；完成虹广线道路拓宽及虹山村通往油菜花基地的道路和苏山桥头至石龙谷景区道路的拓宽改造；实施10.4公里木兰溪河道整治工程，对木兰溪两岸景观进行提升；在前坂村及松角山村建设大型停车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bCs/>
          <w:color w:val="000000"/>
          <w:sz w:val="32"/>
          <w:szCs w:val="32"/>
          <w:lang w:val="en-US" w:eastAsia="zh-CN"/>
        </w:rPr>
        <w:t>三是</w:t>
      </w:r>
      <w:r>
        <w:rPr>
          <w:rFonts w:hint="eastAsia" w:ascii="仿宋_GB2312" w:hAnsi="宋体" w:eastAsia="仿宋_GB2312" w:cs="Times New Roman"/>
          <w:b w:val="0"/>
          <w:bCs w:val="0"/>
          <w:color w:val="000000"/>
          <w:sz w:val="32"/>
          <w:szCs w:val="32"/>
          <w:lang w:val="en-US" w:eastAsia="zh-CN"/>
        </w:rPr>
        <w:t>丰富文旅业态，推动旅游+发展。推动虹山乡申报并成功获评福建省三星级旅游休闲集镇。指导虹山乡依托得天独厚的生态资源、以油菜花基地为载体，发展油菜花特色观光旅游；挖掘彭祖特色文化资源，引导樱梅园以彭祖养生文化资源为核心建设彭祖康养文化园；借助石龙谷景区获评“福建省体育产业示范单位”契机，举办“石龙谷杯”健身赛事，推动“体育+旅游”融合发展；不断深化“红色动力”党建工作，利用石龙谷党史馆、彭千祥故居、土楼打造党史教育基地，促进“党建+旅游”融合发展；虹桥飞渡景区充分挖掘虹山瀑布、百年松林、康养步道等生态资源，打造生态休闲旅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val="0"/>
          <w:bCs w:val="0"/>
          <w:color w:val="000000"/>
          <w:sz w:val="32"/>
          <w:szCs w:val="32"/>
          <w:lang w:val="en-US" w:eastAsia="zh-CN"/>
        </w:rPr>
        <w:t>下一步我们将着重做好以下几个方面的工作：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bCs/>
          <w:color w:val="000000"/>
          <w:sz w:val="32"/>
          <w:szCs w:val="32"/>
          <w:lang w:val="en-US" w:eastAsia="zh-CN"/>
        </w:rPr>
        <w:t>一是</w:t>
      </w:r>
      <w:r>
        <w:rPr>
          <w:rFonts w:hint="eastAsia" w:ascii="仿宋_GB2312" w:hAnsi="宋体" w:eastAsia="仿宋_GB2312" w:cs="Times New Roman"/>
          <w:b w:val="0"/>
          <w:bCs w:val="0"/>
          <w:color w:val="000000"/>
          <w:sz w:val="32"/>
          <w:szCs w:val="32"/>
          <w:lang w:val="en-US" w:eastAsia="zh-CN"/>
        </w:rPr>
        <w:t>对虹山乡全域旅游景区化管理可行性进行综合分析研讨，从布局规划、政策引领、市场条件等方面考量，充分开发虹山各项文旅资源禀赋优势，完善各方面条件和基础，争取虹山乡全域旅游事业进一步创新推进。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bCs/>
          <w:color w:val="000000"/>
          <w:sz w:val="32"/>
          <w:szCs w:val="32"/>
          <w:lang w:val="en-US" w:eastAsia="zh-CN"/>
        </w:rPr>
        <w:t>二是</w:t>
      </w:r>
      <w:r>
        <w:rPr>
          <w:rFonts w:hint="eastAsia" w:ascii="仿宋_GB2312" w:hAnsi="宋体" w:eastAsia="仿宋_GB2312" w:cs="Times New Roman"/>
          <w:b w:val="0"/>
          <w:bCs w:val="0"/>
          <w:color w:val="000000"/>
          <w:sz w:val="32"/>
          <w:szCs w:val="32"/>
          <w:lang w:val="en-US" w:eastAsia="zh-CN"/>
        </w:rPr>
        <w:t>开展虹山乡全域旅游宣传推介工作，引导在地乡村旅游企业提升主动营销推广意识，开展自主营销、联合营销，提升客源市场占有率。纳入全区优质乡村旅游资源整合，打造旅游精品线路，拓宽乡村旅游客源市场。通过抖音、小红书、微信、微博等网络媒体加强宣传，提升名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宋体" w:eastAsia="仿宋_GB2312" w:cs="Times New Roman"/>
          <w:b/>
          <w:bCs/>
          <w:color w:val="000000"/>
          <w:sz w:val="32"/>
          <w:szCs w:val="32"/>
          <w:lang w:val="en-US" w:eastAsia="zh-CN"/>
        </w:rPr>
        <w:t>二是</w:t>
      </w:r>
      <w:r>
        <w:rPr>
          <w:rFonts w:hint="eastAsia" w:ascii="仿宋_GB2312" w:hAnsi="宋体" w:eastAsia="仿宋_GB2312" w:cs="Times New Roman"/>
          <w:b w:val="0"/>
          <w:bCs w:val="0"/>
          <w:color w:val="000000"/>
          <w:sz w:val="32"/>
          <w:szCs w:val="32"/>
          <w:lang w:val="en-US" w:eastAsia="zh-CN"/>
        </w:rPr>
        <w:t>培养乡村旅游专业人才。加大虹山乡村旅游人才培养力度，强化人才队伍素质。加强对在地乡村游景区（点）服务人员的服务水平培训；把培育乡村旅游人才作为发展全域旅游的基础工程抓，壮大人才队伍。并且以举办各类旅游活动为契机，促进旅游行业重点人才沟通交流，提升旅游人才管理水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宋体" w:eastAsia="仿宋_GB2312" w:cs="Times New Roman"/>
          <w:b w:val="0"/>
          <w:bCs w:val="0"/>
          <w:color w:val="000000"/>
          <w:sz w:val="32"/>
          <w:szCs w:val="32"/>
          <w:lang w:val="en-US" w:eastAsia="zh-CN"/>
        </w:rPr>
      </w:pPr>
      <w:r>
        <w:rPr>
          <w:rFonts w:hint="eastAsia" w:ascii="仿宋_GB2312" w:hAnsi="仿宋_GB2312" w:eastAsia="仿宋_GB2312" w:cs="仿宋_GB2312"/>
          <w:sz w:val="32"/>
          <w:szCs w:val="32"/>
        </w:rPr>
        <w:t>感谢</w:t>
      </w:r>
      <w:r>
        <w:rPr>
          <w:rFonts w:hint="eastAsia" w:ascii="仿宋_GB2312" w:hAnsi="仿宋_GB2312" w:eastAsia="仿宋_GB2312" w:cs="仿宋_GB2312"/>
          <w:sz w:val="32"/>
          <w:szCs w:val="32"/>
          <w:lang w:eastAsia="zh-CN"/>
        </w:rPr>
        <w:t>你们</w:t>
      </w:r>
      <w:r>
        <w:rPr>
          <w:rFonts w:hint="eastAsia" w:ascii="仿宋_GB2312" w:hAnsi="仿宋_GB2312" w:eastAsia="仿宋_GB2312" w:cs="仿宋_GB2312"/>
          <w:sz w:val="32"/>
          <w:szCs w:val="32"/>
        </w:rPr>
        <w:t>对洛江</w:t>
      </w:r>
      <w:r>
        <w:rPr>
          <w:rFonts w:hint="eastAsia" w:ascii="仿宋_GB2312" w:hAnsi="仿宋_GB2312" w:eastAsia="仿宋_GB2312" w:cs="仿宋_GB2312"/>
          <w:sz w:val="32"/>
          <w:szCs w:val="32"/>
          <w:lang w:eastAsia="zh-CN"/>
        </w:rPr>
        <w:t>文旅</w:t>
      </w:r>
      <w:r>
        <w:rPr>
          <w:rFonts w:hint="eastAsia" w:ascii="仿宋_GB2312" w:hAnsi="仿宋_GB2312" w:eastAsia="仿宋_GB2312" w:cs="仿宋_GB2312"/>
          <w:sz w:val="32"/>
          <w:szCs w:val="32"/>
        </w:rPr>
        <w:t>事业的关心、关注和支持！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kern w:val="0"/>
          <w:sz w:val="32"/>
          <w:lang w:eastAsia="zh-CN"/>
        </w:rPr>
      </w:pPr>
      <w:r>
        <w:rPr>
          <w:rFonts w:hint="eastAsia" w:ascii="仿宋_GB2312" w:eastAsia="仿宋_GB2312"/>
          <w:kern w:val="0"/>
          <w:sz w:val="32"/>
        </w:rPr>
        <w:t>主要领导：</w:t>
      </w:r>
      <w:r>
        <w:rPr>
          <w:rFonts w:hint="eastAsia" w:ascii="仿宋_GB2312" w:eastAsia="仿宋_GB2312"/>
          <w:kern w:val="0"/>
          <w:sz w:val="32"/>
          <w:lang w:eastAsia="zh-CN"/>
        </w:rPr>
        <w:t>吕培基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kern w:val="0"/>
          <w:sz w:val="32"/>
          <w:lang w:eastAsia="zh-CN"/>
        </w:rPr>
      </w:pPr>
      <w:r>
        <w:rPr>
          <w:rFonts w:hint="eastAsia" w:ascii="仿宋_GB2312" w:eastAsia="仿宋_GB2312"/>
          <w:kern w:val="0"/>
          <w:sz w:val="32"/>
        </w:rPr>
        <w:t>分管领导：</w:t>
      </w:r>
      <w:r>
        <w:rPr>
          <w:rFonts w:hint="eastAsia" w:ascii="仿宋_GB2312" w:eastAsia="仿宋_GB2312"/>
          <w:kern w:val="0"/>
          <w:sz w:val="32"/>
          <w:lang w:eastAsia="zh-CN"/>
        </w:rPr>
        <w:t>林晓玲</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kern w:val="0"/>
          <w:sz w:val="32"/>
          <w:lang w:eastAsia="zh-CN"/>
        </w:rPr>
      </w:pPr>
      <w:r>
        <w:rPr>
          <w:rFonts w:hint="eastAsia" w:ascii="仿宋_GB2312" w:eastAsia="仿宋_GB2312"/>
          <w:kern w:val="0"/>
          <w:sz w:val="32"/>
        </w:rPr>
        <w:t>经办人员：</w:t>
      </w:r>
      <w:r>
        <w:rPr>
          <w:rFonts w:hint="eastAsia" w:ascii="仿宋_GB2312" w:eastAsia="仿宋_GB2312"/>
          <w:kern w:val="0"/>
          <w:sz w:val="32"/>
          <w:lang w:eastAsia="zh-CN"/>
        </w:rPr>
        <w:t>张联狮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kern w:val="0"/>
          <w:sz w:val="32"/>
          <w:lang w:val="en-US" w:eastAsia="zh-CN"/>
        </w:rPr>
      </w:pPr>
      <w:r>
        <w:rPr>
          <w:rFonts w:hint="eastAsia" w:ascii="仿宋_GB2312" w:eastAsia="仿宋_GB2312"/>
          <w:kern w:val="0"/>
          <w:sz w:val="32"/>
        </w:rPr>
        <w:t>联系电话：</w:t>
      </w:r>
      <w:r>
        <w:rPr>
          <w:rFonts w:hint="eastAsia" w:ascii="仿宋_GB2312" w:eastAsia="仿宋_GB2312"/>
          <w:kern w:val="0"/>
          <w:sz w:val="32"/>
          <w:lang w:val="en-US" w:eastAsia="zh-CN"/>
        </w:rPr>
        <w:t>18559488315</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kern w:val="0"/>
          <w:sz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eastAsia="仿宋_GB2312"/>
          <w:kern w:val="0"/>
          <w:sz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4160" w:firstLineChars="1300"/>
        <w:jc w:val="both"/>
        <w:textAlignment w:val="auto"/>
        <w:rPr>
          <w:rFonts w:hint="eastAsia" w:ascii="仿宋_GB2312" w:eastAsia="仿宋_GB2312"/>
          <w:kern w:val="0"/>
          <w:sz w:val="32"/>
        </w:rPr>
      </w:pPr>
      <w:r>
        <w:rPr>
          <w:rFonts w:hint="eastAsia" w:ascii="仿宋_GB2312" w:eastAsia="仿宋_GB2312"/>
          <w:kern w:val="0"/>
          <w:sz w:val="32"/>
        </w:rPr>
        <w:t>泉州市洛江区文化体育和旅游局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440" w:firstLineChars="1700"/>
        <w:jc w:val="both"/>
        <w:textAlignment w:val="auto"/>
        <w:rPr>
          <w:rFonts w:hint="eastAsia" w:ascii="仿宋_GB2312" w:eastAsia="仿宋_GB2312"/>
          <w:kern w:val="0"/>
          <w:sz w:val="32"/>
        </w:rPr>
      </w:pPr>
      <w:r>
        <w:rPr>
          <w:rFonts w:ascii="仿宋_GB2312" w:eastAsia="仿宋_GB2312"/>
          <w:kern w:val="0"/>
          <w:sz w:val="32"/>
        </w:rPr>
        <w:t>202</w:t>
      </w:r>
      <w:r>
        <w:rPr>
          <w:rFonts w:hint="eastAsia" w:ascii="仿宋_GB2312" w:eastAsia="仿宋_GB2312"/>
          <w:kern w:val="0"/>
          <w:sz w:val="32"/>
        </w:rPr>
        <w:t>4年</w:t>
      </w:r>
      <w:r>
        <w:rPr>
          <w:rFonts w:hint="eastAsia" w:ascii="仿宋_GB2312" w:eastAsia="仿宋_GB2312"/>
          <w:kern w:val="0"/>
          <w:sz w:val="32"/>
          <w:lang w:val="en-US" w:eastAsia="zh-CN"/>
        </w:rPr>
        <w:t>4</w:t>
      </w:r>
      <w:r>
        <w:rPr>
          <w:rFonts w:hint="eastAsia" w:ascii="仿宋_GB2312" w:eastAsia="仿宋_GB2312"/>
          <w:kern w:val="0"/>
          <w:sz w:val="32"/>
        </w:rPr>
        <w:t>月</w:t>
      </w:r>
      <w:r>
        <w:rPr>
          <w:rFonts w:hint="eastAsia" w:ascii="仿宋_GB2312" w:eastAsia="仿宋_GB2312"/>
          <w:kern w:val="0"/>
          <w:sz w:val="32"/>
          <w:lang w:val="en-US" w:eastAsia="zh-CN"/>
        </w:rPr>
        <w:t>17</w:t>
      </w:r>
      <w:r>
        <w:rPr>
          <w:rFonts w:hint="eastAsia" w:ascii="仿宋_GB2312" w:eastAsia="仿宋_GB2312"/>
          <w:kern w:val="0"/>
          <w:sz w:val="32"/>
        </w:rPr>
        <w:t>日</w:t>
      </w:r>
    </w:p>
    <w:p>
      <w:pPr>
        <w:autoSpaceDE w:val="0"/>
        <w:autoSpaceDN w:val="0"/>
        <w:adjustRightInd w:val="0"/>
        <w:spacing w:afterLines="50"/>
        <w:jc w:val="left"/>
        <w:rPr>
          <w:rFonts w:ascii="仿宋_GB2312" w:eastAsia="仿宋_GB2312"/>
          <w:kern w:val="0"/>
          <w:sz w:val="32"/>
        </w:rPr>
      </w:pPr>
    </w:p>
    <w:p>
      <w:pPr>
        <w:autoSpaceDE w:val="0"/>
        <w:autoSpaceDN w:val="0"/>
        <w:adjustRightInd w:val="0"/>
        <w:spacing w:afterLines="50"/>
        <w:jc w:val="left"/>
        <w:rPr>
          <w:rFonts w:ascii="仿宋_GB2312" w:eastAsia="仿宋_GB2312"/>
          <w:kern w:val="0"/>
          <w:sz w:val="32"/>
        </w:rPr>
      </w:pPr>
    </w:p>
    <w:p>
      <w:pPr>
        <w:autoSpaceDE w:val="0"/>
        <w:autoSpaceDN w:val="0"/>
        <w:adjustRightInd w:val="0"/>
        <w:spacing w:afterLines="50"/>
        <w:jc w:val="left"/>
        <w:rPr>
          <w:rFonts w:ascii="仿宋_GB2312" w:eastAsia="仿宋_GB2312"/>
          <w:kern w:val="0"/>
          <w:sz w:val="32"/>
        </w:rPr>
      </w:pPr>
    </w:p>
    <w:p>
      <w:pPr>
        <w:pBdr>
          <w:top w:val="single" w:color="auto" w:sz="12" w:space="1"/>
        </w:pBdr>
        <w:tabs>
          <w:tab w:val="left" w:pos="720"/>
        </w:tabs>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抄送：</w:t>
      </w:r>
      <w:r>
        <w:rPr>
          <w:rFonts w:hint="eastAsia" w:ascii="仿宋" w:hAnsi="仿宋" w:eastAsia="仿宋" w:cs="仿宋"/>
          <w:kern w:val="0"/>
          <w:sz w:val="28"/>
          <w:szCs w:val="28"/>
        </w:rPr>
        <w:t>区人大人事代表工委</w:t>
      </w:r>
      <w:r>
        <w:rPr>
          <w:rFonts w:hint="eastAsia" w:ascii="仿宋" w:hAnsi="仿宋" w:eastAsia="仿宋" w:cs="仿宋"/>
          <w:color w:val="000000"/>
          <w:sz w:val="28"/>
          <w:szCs w:val="28"/>
        </w:rPr>
        <w:t>、区政府督查室</w:t>
      </w:r>
      <w:r>
        <w:rPr>
          <w:rFonts w:hint="eastAsia" w:ascii="仿宋" w:hAnsi="仿宋" w:eastAsia="仿宋" w:cs="仿宋"/>
          <w:color w:val="000000"/>
          <w:sz w:val="28"/>
          <w:szCs w:val="28"/>
          <w:lang w:eastAsia="zh-CN"/>
        </w:rPr>
        <w:t>，虹山乡</w:t>
      </w:r>
      <w:r>
        <w:rPr>
          <w:rFonts w:hint="eastAsia" w:ascii="仿宋" w:hAnsi="仿宋" w:eastAsia="仿宋" w:cs="仿宋"/>
          <w:color w:val="000000"/>
          <w:sz w:val="28"/>
          <w:szCs w:val="28"/>
        </w:rPr>
        <w:t>。</w:t>
      </w:r>
    </w:p>
    <w:p>
      <w:pPr>
        <w:pBdr>
          <w:top w:val="single" w:color="auto" w:sz="8" w:space="1"/>
          <w:bottom w:val="single" w:color="auto" w:sz="12" w:space="1"/>
        </w:pBdr>
        <w:rPr>
          <w:rFonts w:hint="eastAsia" w:ascii="仿宋" w:hAnsi="仿宋" w:eastAsia="仿宋" w:cs="仿宋"/>
          <w:kern w:val="0"/>
          <w:sz w:val="28"/>
          <w:szCs w:val="28"/>
        </w:rPr>
      </w:pPr>
      <w:r>
        <w:rPr>
          <w:rFonts w:hint="eastAsia" w:ascii="仿宋" w:hAnsi="仿宋" w:eastAsia="仿宋" w:cs="仿宋"/>
          <w:color w:val="000000"/>
          <w:sz w:val="28"/>
          <w:szCs w:val="28"/>
        </w:rPr>
        <w:t xml:space="preserve">  泉州市洛江区文化体育和旅游局办公室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kern w:val="0"/>
          <w:sz w:val="28"/>
          <w:szCs w:val="28"/>
          <w:lang w:val="en-US" w:eastAsia="zh-CN"/>
        </w:rPr>
        <w:t>4</w:t>
      </w:r>
      <w:r>
        <w:rPr>
          <w:rFonts w:hint="eastAsia" w:ascii="仿宋" w:hAnsi="仿宋" w:eastAsia="仿宋" w:cs="仿宋"/>
          <w:color w:val="000000"/>
          <w:sz w:val="28"/>
          <w:szCs w:val="28"/>
        </w:rPr>
        <w:t>月</w:t>
      </w:r>
      <w:r>
        <w:rPr>
          <w:rFonts w:hint="eastAsia" w:ascii="仿宋" w:hAnsi="仿宋" w:eastAsia="仿宋" w:cs="仿宋"/>
          <w:kern w:val="0"/>
          <w:sz w:val="28"/>
          <w:szCs w:val="28"/>
          <w:lang w:val="en-US" w:eastAsia="zh-CN"/>
        </w:rPr>
        <w:t>17</w:t>
      </w:r>
      <w:r>
        <w:rPr>
          <w:rFonts w:hint="eastAsia" w:ascii="仿宋" w:hAnsi="仿宋" w:eastAsia="仿宋" w:cs="仿宋"/>
          <w:color w:val="000000"/>
          <w:sz w:val="28"/>
          <w:szCs w:val="28"/>
        </w:rPr>
        <w:t>日印发</w:t>
      </w:r>
    </w:p>
    <w:sectPr>
      <w:footerReference r:id="rId3" w:type="default"/>
      <w:footerReference r:id="rId4" w:type="even"/>
      <w:pgSz w:w="11906" w:h="16838"/>
      <w:pgMar w:top="1871" w:right="1304" w:bottom="1531" w:left="1304" w:header="851" w:footer="1247" w:gutter="0"/>
      <w:pgNumType w:fmt="numberInDash"/>
      <w:cols w:space="425" w:num="1"/>
      <w:docGrid w:type="linesAndChars" w:linePitch="610"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586" w:y="7"/>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- 2 -</w:t>
    </w:r>
    <w:r>
      <w:rPr>
        <w:rStyle w:val="6"/>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attachedTemplate r:id="rId1"/>
  <w:documentProtection w:enforcement="0"/>
  <w:defaultTabStop w:val="420"/>
  <w:evenAndOddHeaders w:val="1"/>
  <w:drawingGridHorizontalSpacing w:val="211"/>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2VlYmMwNzQzYjU0ODlkZGNkMzJkYjJlM2IyYTMifQ=="/>
    <w:docVar w:name="KSO_WPS_MARK_KEY" w:val="5644a888-36e2-4268-9d8c-e742654873ba"/>
  </w:docVars>
  <w:rsids>
    <w:rsidRoot w:val="00F14572"/>
    <w:rsid w:val="000238B7"/>
    <w:rsid w:val="00060A05"/>
    <w:rsid w:val="00065B70"/>
    <w:rsid w:val="0006688A"/>
    <w:rsid w:val="000737B9"/>
    <w:rsid w:val="000A6FD5"/>
    <w:rsid w:val="000D07DD"/>
    <w:rsid w:val="000F37AF"/>
    <w:rsid w:val="0019583A"/>
    <w:rsid w:val="00197E69"/>
    <w:rsid w:val="001F447F"/>
    <w:rsid w:val="0026406D"/>
    <w:rsid w:val="00275073"/>
    <w:rsid w:val="002D1A38"/>
    <w:rsid w:val="002D2CE9"/>
    <w:rsid w:val="002E7160"/>
    <w:rsid w:val="002F34E8"/>
    <w:rsid w:val="003010DA"/>
    <w:rsid w:val="00336FB3"/>
    <w:rsid w:val="003500A0"/>
    <w:rsid w:val="00363CDE"/>
    <w:rsid w:val="003757E1"/>
    <w:rsid w:val="003B4120"/>
    <w:rsid w:val="003F2643"/>
    <w:rsid w:val="00425E6F"/>
    <w:rsid w:val="00467061"/>
    <w:rsid w:val="004726D6"/>
    <w:rsid w:val="00483539"/>
    <w:rsid w:val="004C08F4"/>
    <w:rsid w:val="004F769B"/>
    <w:rsid w:val="0050115F"/>
    <w:rsid w:val="0050500A"/>
    <w:rsid w:val="00540391"/>
    <w:rsid w:val="005715C8"/>
    <w:rsid w:val="005E5AFE"/>
    <w:rsid w:val="006826DF"/>
    <w:rsid w:val="0068742B"/>
    <w:rsid w:val="00693780"/>
    <w:rsid w:val="00696E54"/>
    <w:rsid w:val="006D3DAC"/>
    <w:rsid w:val="00771757"/>
    <w:rsid w:val="007C037F"/>
    <w:rsid w:val="007F211E"/>
    <w:rsid w:val="007F27E0"/>
    <w:rsid w:val="00807125"/>
    <w:rsid w:val="008127D1"/>
    <w:rsid w:val="00813B99"/>
    <w:rsid w:val="00820DFB"/>
    <w:rsid w:val="00820E96"/>
    <w:rsid w:val="00843CAD"/>
    <w:rsid w:val="008567BA"/>
    <w:rsid w:val="008A2FBA"/>
    <w:rsid w:val="00902D83"/>
    <w:rsid w:val="009664BF"/>
    <w:rsid w:val="00990F46"/>
    <w:rsid w:val="009E6C8B"/>
    <w:rsid w:val="00A113B0"/>
    <w:rsid w:val="00A82FC3"/>
    <w:rsid w:val="00AB7BA3"/>
    <w:rsid w:val="00AF1430"/>
    <w:rsid w:val="00B33475"/>
    <w:rsid w:val="00B45C15"/>
    <w:rsid w:val="00B766C6"/>
    <w:rsid w:val="00BB7C70"/>
    <w:rsid w:val="00C22318"/>
    <w:rsid w:val="00C43598"/>
    <w:rsid w:val="00C44DAE"/>
    <w:rsid w:val="00D034AD"/>
    <w:rsid w:val="00D447F4"/>
    <w:rsid w:val="00D72CF0"/>
    <w:rsid w:val="00DB13CE"/>
    <w:rsid w:val="00DB39C9"/>
    <w:rsid w:val="00DC2590"/>
    <w:rsid w:val="00DC36DC"/>
    <w:rsid w:val="00DD1B8E"/>
    <w:rsid w:val="00DE2C27"/>
    <w:rsid w:val="00DE6D07"/>
    <w:rsid w:val="00E1213C"/>
    <w:rsid w:val="00ED114A"/>
    <w:rsid w:val="00F14572"/>
    <w:rsid w:val="00F218AA"/>
    <w:rsid w:val="00F24589"/>
    <w:rsid w:val="00FC0624"/>
    <w:rsid w:val="00FE1A90"/>
    <w:rsid w:val="21933520"/>
    <w:rsid w:val="248C08A3"/>
    <w:rsid w:val="28917D96"/>
    <w:rsid w:val="2C7E3817"/>
    <w:rsid w:val="32C96DEC"/>
    <w:rsid w:val="44754D27"/>
    <w:rsid w:val="4A312FCB"/>
    <w:rsid w:val="4B754FA0"/>
    <w:rsid w:val="5AA32B25"/>
    <w:rsid w:val="5B9570A9"/>
    <w:rsid w:val="6BD810B3"/>
    <w:rsid w:val="73EA2B92"/>
    <w:rsid w:val="75F9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745;\AppData\Roaming\Microsoft\Templates\&#27849;&#27931;&#25919;&#2115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891C-5F50-4956-9C28-C5E541073416}">
  <ds:schemaRefs/>
</ds:datastoreItem>
</file>

<file path=docProps/app.xml><?xml version="1.0" encoding="utf-8"?>
<Properties xmlns="http://schemas.openxmlformats.org/officeDocument/2006/extended-properties" xmlns:vt="http://schemas.openxmlformats.org/officeDocument/2006/docPropsVTypes">
  <Template>泉洛政办.dot</Template>
  <Company>微软中国</Company>
  <Pages>3</Pages>
  <Words>206</Words>
  <Characters>215</Characters>
  <Lines>46</Lines>
  <Paragraphs>13</Paragraphs>
  <TotalTime>1</TotalTime>
  <ScaleCrop>false</ScaleCrop>
  <LinksUpToDate>false</LinksUpToDate>
  <CharactersWithSpaces>245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2023-12-25T03:30:00Z</dcterms:created>
  <dc:creator>静</dc:creator>
  <cp:lastModifiedBy>Administrator</cp:lastModifiedBy>
  <cp:lastPrinted>2024-04-17T07:08:01Z</cp:lastPrinted>
  <dcterms:modified xsi:type="dcterms:W3CDTF">2024-04-17T07:08:41Z</dcterms:modified>
  <dc:title>泉洛政文〔20  〕  号</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C466157412D4400A8BFFDC4EBE210449_13</vt:lpwstr>
  </property>
</Properties>
</file>