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bookmarkStart w:id="0" w:name="_Toc62061283"/>
      <w:bookmarkStart w:id="1" w:name="_Toc61179714"/>
    </w:p>
    <w:p>
      <w:pPr>
        <w:jc w:val="center"/>
        <w:rPr>
          <w:rFonts w:ascii="宋体" w:hAnsi="宋体" w:eastAsia="宋体"/>
          <w:b/>
          <w:bCs/>
          <w:sz w:val="72"/>
          <w:szCs w:val="72"/>
        </w:rPr>
      </w:pPr>
      <w:bookmarkStart w:id="2" w:name="_Toc64626453"/>
      <w:bookmarkStart w:id="3" w:name="_Toc64626118"/>
      <w:bookmarkStart w:id="4" w:name="_Toc64626898"/>
      <w:bookmarkStart w:id="5" w:name="_Toc64641599"/>
      <w:bookmarkStart w:id="6" w:name="_Toc64640039"/>
      <w:bookmarkStart w:id="7" w:name="_Toc31214"/>
      <w:bookmarkStart w:id="8" w:name="_Toc64626209"/>
      <w:r>
        <w:rPr>
          <w:rFonts w:hint="eastAsia" w:ascii="宋体" w:hAnsi="宋体" w:eastAsia="宋体"/>
          <w:b/>
          <w:bCs/>
          <w:sz w:val="72"/>
          <w:szCs w:val="72"/>
        </w:rPr>
        <w:t>洛江区2021年度第一批次</w:t>
      </w:r>
      <w:bookmarkEnd w:id="2"/>
      <w:bookmarkEnd w:id="3"/>
      <w:bookmarkEnd w:id="4"/>
      <w:bookmarkEnd w:id="5"/>
      <w:bookmarkEnd w:id="6"/>
      <w:bookmarkEnd w:id="7"/>
      <w:bookmarkEnd w:id="8"/>
    </w:p>
    <w:p>
      <w:pPr>
        <w:jc w:val="center"/>
        <w:rPr>
          <w:rFonts w:ascii="宋体" w:hAnsi="宋体" w:eastAsia="宋体"/>
          <w:b/>
          <w:bCs/>
          <w:sz w:val="72"/>
          <w:szCs w:val="72"/>
        </w:rPr>
      </w:pPr>
      <w:bookmarkStart w:id="9" w:name="_Toc64640040"/>
      <w:bookmarkStart w:id="10" w:name="_Toc64626210"/>
      <w:bookmarkStart w:id="11" w:name="_Toc2897"/>
      <w:bookmarkStart w:id="12" w:name="_Toc64641600"/>
      <w:bookmarkStart w:id="13" w:name="_Toc64626899"/>
      <w:bookmarkStart w:id="14" w:name="_Toc64626119"/>
      <w:bookmarkStart w:id="15" w:name="_Toc64626454"/>
      <w:r>
        <w:rPr>
          <w:rFonts w:hint="eastAsia" w:ascii="宋体" w:hAnsi="宋体" w:eastAsia="宋体"/>
          <w:b/>
          <w:bCs/>
          <w:sz w:val="72"/>
          <w:szCs w:val="72"/>
        </w:rPr>
        <w:t>土地征收成片开发方案</w:t>
      </w:r>
      <w:bookmarkEnd w:id="9"/>
      <w:bookmarkEnd w:id="10"/>
      <w:bookmarkEnd w:id="11"/>
      <w:bookmarkEnd w:id="12"/>
      <w:bookmarkEnd w:id="13"/>
      <w:bookmarkEnd w:id="14"/>
      <w:bookmarkEnd w:id="15"/>
    </w:p>
    <w:p>
      <w:pPr>
        <w:jc w:val="center"/>
        <w:rPr>
          <w:rFonts w:ascii="宋体" w:hAnsi="宋体" w:eastAsia="宋体"/>
          <w:b/>
          <w:bCs/>
          <w:sz w:val="44"/>
          <w:szCs w:val="44"/>
        </w:rPr>
      </w:pPr>
    </w:p>
    <w:p>
      <w:pPr>
        <w:jc w:val="center"/>
        <w:rPr>
          <w:rFonts w:ascii="宋体" w:hAnsi="宋体" w:eastAsia="宋体"/>
          <w:b/>
          <w:bCs/>
          <w:sz w:val="44"/>
          <w:szCs w:val="44"/>
        </w:rPr>
      </w:pPr>
    </w:p>
    <w:p>
      <w:pPr>
        <w:jc w:val="center"/>
        <w:rPr>
          <w:rFonts w:ascii="宋体" w:hAnsi="宋体" w:eastAsia="宋体"/>
          <w:b/>
          <w:bCs/>
          <w:sz w:val="44"/>
          <w:szCs w:val="44"/>
        </w:rPr>
      </w:pPr>
    </w:p>
    <w:p>
      <w:pPr>
        <w:jc w:val="center"/>
        <w:rPr>
          <w:rFonts w:ascii="宋体" w:hAnsi="宋体" w:eastAsia="宋体"/>
          <w:b/>
          <w:bCs/>
          <w:sz w:val="44"/>
          <w:szCs w:val="44"/>
        </w:rPr>
      </w:pPr>
    </w:p>
    <w:p>
      <w:pPr>
        <w:jc w:val="center"/>
        <w:rPr>
          <w:rFonts w:ascii="宋体" w:hAnsi="宋体" w:eastAsia="宋体"/>
          <w:b/>
          <w:bCs/>
          <w:sz w:val="44"/>
          <w:szCs w:val="44"/>
        </w:rPr>
      </w:pPr>
    </w:p>
    <w:p>
      <w:pPr>
        <w:jc w:val="center"/>
        <w:rPr>
          <w:rFonts w:ascii="宋体" w:hAnsi="宋体" w:eastAsia="宋体"/>
          <w:b/>
          <w:bCs/>
          <w:sz w:val="44"/>
          <w:szCs w:val="44"/>
        </w:rPr>
      </w:pPr>
    </w:p>
    <w:p>
      <w:pPr>
        <w:jc w:val="center"/>
        <w:rPr>
          <w:rFonts w:ascii="宋体" w:hAnsi="宋体" w:eastAsia="宋体"/>
          <w:b/>
          <w:bCs/>
          <w:sz w:val="44"/>
          <w:szCs w:val="44"/>
        </w:rPr>
      </w:pPr>
    </w:p>
    <w:p>
      <w:pPr>
        <w:jc w:val="center"/>
        <w:rPr>
          <w:rFonts w:ascii="宋体" w:hAnsi="宋体" w:eastAsia="宋体"/>
          <w:b/>
          <w:bCs/>
          <w:sz w:val="44"/>
          <w:szCs w:val="44"/>
        </w:rPr>
      </w:pPr>
    </w:p>
    <w:p>
      <w:pPr>
        <w:jc w:val="center"/>
        <w:rPr>
          <w:rFonts w:ascii="宋体" w:hAnsi="宋体" w:eastAsia="宋体"/>
          <w:b/>
          <w:bCs/>
          <w:sz w:val="44"/>
          <w:szCs w:val="44"/>
        </w:rPr>
      </w:pPr>
    </w:p>
    <w:p>
      <w:pPr>
        <w:jc w:val="center"/>
        <w:rPr>
          <w:rFonts w:ascii="宋体" w:hAnsi="宋体" w:eastAsia="宋体"/>
          <w:b/>
          <w:bCs/>
          <w:sz w:val="44"/>
          <w:szCs w:val="44"/>
        </w:rPr>
      </w:pPr>
    </w:p>
    <w:p>
      <w:pPr>
        <w:rPr>
          <w:rFonts w:ascii="宋体" w:hAnsi="宋体" w:eastAsia="宋体"/>
          <w:b/>
          <w:bCs/>
          <w:sz w:val="44"/>
          <w:szCs w:val="44"/>
        </w:rPr>
      </w:pPr>
    </w:p>
    <w:p>
      <w:pPr>
        <w:jc w:val="center"/>
        <w:rPr>
          <w:rFonts w:ascii="宋体" w:hAnsi="宋体" w:eastAsia="宋体"/>
          <w:b/>
          <w:bCs/>
          <w:sz w:val="44"/>
          <w:szCs w:val="44"/>
        </w:rPr>
      </w:pPr>
    </w:p>
    <w:p>
      <w:pPr>
        <w:jc w:val="center"/>
        <w:rPr>
          <w:rFonts w:ascii="宋体" w:hAnsi="宋体" w:eastAsia="宋体"/>
          <w:b/>
          <w:bCs/>
          <w:sz w:val="44"/>
          <w:szCs w:val="44"/>
        </w:rPr>
      </w:pPr>
    </w:p>
    <w:p>
      <w:pPr>
        <w:jc w:val="center"/>
        <w:rPr>
          <w:rFonts w:ascii="宋体" w:hAnsi="宋体" w:eastAsia="宋体"/>
          <w:b/>
          <w:bCs/>
          <w:sz w:val="44"/>
          <w:szCs w:val="44"/>
        </w:rPr>
      </w:pPr>
    </w:p>
    <w:p>
      <w:pPr>
        <w:jc w:val="center"/>
        <w:rPr>
          <w:rFonts w:ascii="宋体" w:hAnsi="宋体" w:eastAsia="宋体"/>
          <w:b/>
          <w:bCs/>
          <w:sz w:val="44"/>
          <w:szCs w:val="44"/>
        </w:rPr>
      </w:pPr>
    </w:p>
    <w:p>
      <w:pPr>
        <w:rPr>
          <w:rFonts w:ascii="宋体" w:hAnsi="宋体" w:eastAsia="宋体"/>
          <w:b/>
          <w:bCs/>
          <w:sz w:val="44"/>
          <w:szCs w:val="44"/>
        </w:rPr>
        <w:sectPr>
          <w:footerReference r:id="rId3" w:type="default"/>
          <w:pgSz w:w="11906" w:h="16838"/>
          <w:pgMar w:top="1440" w:right="1800" w:bottom="1440" w:left="1800" w:header="851" w:footer="992" w:gutter="0"/>
          <w:cols w:space="425" w:num="1"/>
          <w:titlePg/>
          <w:docGrid w:type="lines" w:linePitch="312" w:charSpace="0"/>
        </w:sectPr>
      </w:pPr>
    </w:p>
    <w:sdt>
      <w:sdtPr>
        <w:rPr>
          <w:rFonts w:asciiTheme="minorHAnsi" w:hAnsiTheme="minorHAnsi" w:eastAsiaTheme="minorEastAsia" w:cstheme="minorBidi"/>
          <w:b w:val="0"/>
          <w:bCs w:val="0"/>
          <w:color w:val="auto"/>
          <w:kern w:val="2"/>
          <w:sz w:val="21"/>
          <w:szCs w:val="22"/>
          <w:lang w:val="zh-CN"/>
        </w:rPr>
        <w:id w:val="78000290"/>
        <w:docPartObj>
          <w:docPartGallery w:val="Table of Contents"/>
          <w:docPartUnique/>
        </w:docPartObj>
      </w:sdtPr>
      <w:sdtEndPr>
        <w:rPr>
          <w:rFonts w:asciiTheme="minorHAnsi" w:hAnsiTheme="minorHAnsi" w:eastAsiaTheme="minorEastAsia" w:cstheme="minorBidi"/>
          <w:b w:val="0"/>
          <w:bCs w:val="0"/>
          <w:color w:val="auto"/>
          <w:kern w:val="2"/>
          <w:sz w:val="21"/>
          <w:szCs w:val="22"/>
          <w:lang w:val="en-US"/>
        </w:rPr>
      </w:sdtEndPr>
      <w:sdtContent>
        <w:p>
          <w:pPr>
            <w:pStyle w:val="26"/>
            <w:jc w:val="center"/>
          </w:pPr>
          <w:r>
            <w:rPr>
              <w:color w:val="auto"/>
              <w:sz w:val="44"/>
              <w:szCs w:val="44"/>
              <w:lang w:val="zh-CN"/>
            </w:rPr>
            <w:t>目录</w:t>
          </w:r>
        </w:p>
        <w:p>
          <w:pPr>
            <w:pStyle w:val="6"/>
            <w:tabs>
              <w:tab w:val="right" w:leader="dot" w:pos="8296"/>
            </w:tabs>
            <w:spacing w:line="500" w:lineRule="exact"/>
            <w:ind w:left="0" w:leftChars="0"/>
            <w:rPr>
              <w:rStyle w:val="16"/>
              <w:sz w:val="28"/>
              <w:szCs w:val="28"/>
            </w:rPr>
          </w:pPr>
          <w:r>
            <w:rPr>
              <w:sz w:val="28"/>
              <w:szCs w:val="28"/>
            </w:rPr>
            <w:fldChar w:fldCharType="begin"/>
          </w:r>
          <w:r>
            <w:rPr>
              <w:sz w:val="28"/>
              <w:szCs w:val="28"/>
            </w:rPr>
            <w:instrText xml:space="preserve"> TOC \o "1-3" \h \z \u </w:instrText>
          </w:r>
          <w:r>
            <w:rPr>
              <w:sz w:val="28"/>
              <w:szCs w:val="28"/>
            </w:rPr>
            <w:fldChar w:fldCharType="separate"/>
          </w:r>
          <w:r>
            <w:fldChar w:fldCharType="begin"/>
          </w:r>
          <w:r>
            <w:instrText xml:space="preserve"> HYPERLINK \l "_Toc64641603" </w:instrText>
          </w:r>
          <w:r>
            <w:fldChar w:fldCharType="separate"/>
          </w:r>
          <w:r>
            <w:rPr>
              <w:rStyle w:val="16"/>
              <w:rFonts w:hint="eastAsia"/>
              <w:sz w:val="28"/>
              <w:szCs w:val="28"/>
            </w:rPr>
            <w:t>一、概述</w:t>
          </w:r>
          <w:r>
            <w:rPr>
              <w:rStyle w:val="16"/>
              <w:sz w:val="28"/>
              <w:szCs w:val="28"/>
            </w:rPr>
            <w:tab/>
          </w:r>
          <w:r>
            <w:rPr>
              <w:rStyle w:val="16"/>
              <w:sz w:val="28"/>
              <w:szCs w:val="28"/>
            </w:rPr>
            <w:fldChar w:fldCharType="begin"/>
          </w:r>
          <w:r>
            <w:rPr>
              <w:rStyle w:val="16"/>
              <w:sz w:val="28"/>
              <w:szCs w:val="28"/>
            </w:rPr>
            <w:instrText xml:space="preserve"> PAGEREF _Toc64641603 \h </w:instrText>
          </w:r>
          <w:r>
            <w:rPr>
              <w:rStyle w:val="16"/>
              <w:sz w:val="28"/>
              <w:szCs w:val="28"/>
            </w:rPr>
            <w:fldChar w:fldCharType="separate"/>
          </w:r>
          <w:r>
            <w:rPr>
              <w:rStyle w:val="16"/>
              <w:sz w:val="28"/>
              <w:szCs w:val="28"/>
            </w:rPr>
            <w:t>4</w:t>
          </w:r>
          <w:r>
            <w:rPr>
              <w:rStyle w:val="16"/>
              <w:sz w:val="28"/>
              <w:szCs w:val="28"/>
            </w:rPr>
            <w:fldChar w:fldCharType="end"/>
          </w:r>
          <w:r>
            <w:rPr>
              <w:rStyle w:val="16"/>
              <w:sz w:val="28"/>
              <w:szCs w:val="28"/>
            </w:rPr>
            <w:fldChar w:fldCharType="end"/>
          </w:r>
        </w:p>
        <w:p>
          <w:pPr>
            <w:pStyle w:val="12"/>
            <w:tabs>
              <w:tab w:val="right" w:leader="dot" w:pos="8296"/>
            </w:tabs>
            <w:spacing w:line="500" w:lineRule="exact"/>
            <w:rPr>
              <w:kern w:val="2"/>
              <w:sz w:val="28"/>
              <w:szCs w:val="28"/>
            </w:rPr>
          </w:pPr>
          <w:r>
            <w:fldChar w:fldCharType="begin"/>
          </w:r>
          <w:r>
            <w:instrText xml:space="preserve"> HYPERLINK \l "_Toc64641604" </w:instrText>
          </w:r>
          <w:r>
            <w:fldChar w:fldCharType="separate"/>
          </w:r>
          <w:r>
            <w:rPr>
              <w:rStyle w:val="16"/>
              <w:rFonts w:hint="eastAsia" w:ascii="楷体_GB2312" w:eastAsia="楷体_GB2312"/>
              <w:sz w:val="28"/>
              <w:szCs w:val="28"/>
            </w:rPr>
            <w:t>（一）方案编制的背景</w:t>
          </w:r>
          <w:r>
            <w:rPr>
              <w:sz w:val="28"/>
              <w:szCs w:val="28"/>
            </w:rPr>
            <w:tab/>
          </w:r>
          <w:r>
            <w:rPr>
              <w:sz w:val="28"/>
              <w:szCs w:val="28"/>
            </w:rPr>
            <w:fldChar w:fldCharType="begin"/>
          </w:r>
          <w:r>
            <w:rPr>
              <w:sz w:val="28"/>
              <w:szCs w:val="28"/>
            </w:rPr>
            <w:instrText xml:space="preserve"> PAGEREF _Toc64641604 \h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12"/>
            <w:tabs>
              <w:tab w:val="right" w:leader="dot" w:pos="8296"/>
            </w:tabs>
            <w:spacing w:line="500" w:lineRule="exact"/>
            <w:rPr>
              <w:kern w:val="2"/>
              <w:sz w:val="28"/>
              <w:szCs w:val="28"/>
            </w:rPr>
          </w:pPr>
          <w:r>
            <w:fldChar w:fldCharType="begin"/>
          </w:r>
          <w:r>
            <w:instrText xml:space="preserve"> HYPERLINK \l "_Toc64641605" </w:instrText>
          </w:r>
          <w:r>
            <w:fldChar w:fldCharType="separate"/>
          </w:r>
          <w:r>
            <w:rPr>
              <w:rStyle w:val="16"/>
              <w:rFonts w:hint="eastAsia" w:ascii="楷体_GB2312" w:eastAsia="楷体_GB2312"/>
              <w:sz w:val="28"/>
              <w:szCs w:val="28"/>
            </w:rPr>
            <w:t>（二）方案编制原则</w:t>
          </w:r>
          <w:r>
            <w:rPr>
              <w:sz w:val="28"/>
              <w:szCs w:val="28"/>
            </w:rPr>
            <w:tab/>
          </w:r>
          <w:r>
            <w:rPr>
              <w:sz w:val="28"/>
              <w:szCs w:val="28"/>
            </w:rPr>
            <w:fldChar w:fldCharType="begin"/>
          </w:r>
          <w:r>
            <w:rPr>
              <w:sz w:val="28"/>
              <w:szCs w:val="28"/>
            </w:rPr>
            <w:instrText xml:space="preserve"> PAGEREF _Toc64641605 \h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6"/>
            <w:tabs>
              <w:tab w:val="right" w:leader="dot" w:pos="8296"/>
            </w:tabs>
            <w:spacing w:line="500" w:lineRule="exact"/>
            <w:rPr>
              <w:sz w:val="28"/>
              <w:szCs w:val="28"/>
            </w:rPr>
          </w:pPr>
          <w:r>
            <w:fldChar w:fldCharType="begin"/>
          </w:r>
          <w:r>
            <w:instrText xml:space="preserve"> HYPERLINK \l "_Toc64641606" </w:instrText>
          </w:r>
          <w:r>
            <w:fldChar w:fldCharType="separate"/>
          </w:r>
          <w:r>
            <w:rPr>
              <w:rStyle w:val="16"/>
              <w:rFonts w:ascii="楷体_GB2312" w:eastAsia="楷体_GB2312"/>
              <w:kern w:val="0"/>
              <w:sz w:val="28"/>
              <w:szCs w:val="28"/>
            </w:rPr>
            <w:t>1.</w:t>
          </w:r>
          <w:r>
            <w:rPr>
              <w:rStyle w:val="16"/>
              <w:rFonts w:hint="eastAsia" w:ascii="楷体_GB2312" w:eastAsia="楷体_GB2312"/>
              <w:kern w:val="0"/>
              <w:sz w:val="28"/>
              <w:szCs w:val="28"/>
            </w:rPr>
            <w:t>遵守法律法规、维护公共利益原则</w:t>
          </w:r>
          <w:r>
            <w:rPr>
              <w:sz w:val="28"/>
              <w:szCs w:val="28"/>
            </w:rPr>
            <w:tab/>
          </w:r>
          <w:r>
            <w:rPr>
              <w:sz w:val="28"/>
              <w:szCs w:val="28"/>
            </w:rPr>
            <w:fldChar w:fldCharType="begin"/>
          </w:r>
          <w:r>
            <w:rPr>
              <w:sz w:val="28"/>
              <w:szCs w:val="28"/>
            </w:rPr>
            <w:instrText xml:space="preserve"> PAGEREF _Toc64641606 \h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6"/>
            <w:tabs>
              <w:tab w:val="right" w:leader="dot" w:pos="8296"/>
            </w:tabs>
            <w:spacing w:line="500" w:lineRule="exact"/>
            <w:rPr>
              <w:sz w:val="28"/>
              <w:szCs w:val="28"/>
            </w:rPr>
          </w:pPr>
          <w:r>
            <w:fldChar w:fldCharType="begin"/>
          </w:r>
          <w:r>
            <w:instrText xml:space="preserve"> HYPERLINK \l "_Toc64641607" </w:instrText>
          </w:r>
          <w:r>
            <w:fldChar w:fldCharType="separate"/>
          </w:r>
          <w:r>
            <w:rPr>
              <w:rStyle w:val="16"/>
              <w:rFonts w:ascii="楷体_GB2312" w:eastAsia="楷体_GB2312"/>
              <w:kern w:val="0"/>
              <w:sz w:val="28"/>
              <w:szCs w:val="28"/>
            </w:rPr>
            <w:t>2.</w:t>
          </w:r>
          <w:r>
            <w:rPr>
              <w:rStyle w:val="16"/>
              <w:rFonts w:hint="eastAsia" w:ascii="楷体_GB2312" w:eastAsia="楷体_GB2312"/>
              <w:kern w:val="0"/>
              <w:sz w:val="28"/>
              <w:szCs w:val="28"/>
            </w:rPr>
            <w:t>科学合理编制、确保开发必要原则</w:t>
          </w:r>
          <w:r>
            <w:rPr>
              <w:sz w:val="28"/>
              <w:szCs w:val="28"/>
            </w:rPr>
            <w:tab/>
          </w:r>
          <w:r>
            <w:rPr>
              <w:sz w:val="28"/>
              <w:szCs w:val="28"/>
            </w:rPr>
            <w:fldChar w:fldCharType="begin"/>
          </w:r>
          <w:r>
            <w:rPr>
              <w:sz w:val="28"/>
              <w:szCs w:val="28"/>
            </w:rPr>
            <w:instrText xml:space="preserve"> PAGEREF _Toc64641607 \h </w:instrText>
          </w:r>
          <w:r>
            <w:rPr>
              <w:sz w:val="28"/>
              <w:szCs w:val="28"/>
            </w:rPr>
            <w:fldChar w:fldCharType="separate"/>
          </w:r>
          <w:r>
            <w:rPr>
              <w:sz w:val="28"/>
              <w:szCs w:val="28"/>
            </w:rPr>
            <w:t>6</w:t>
          </w:r>
          <w:r>
            <w:rPr>
              <w:sz w:val="28"/>
              <w:szCs w:val="28"/>
            </w:rPr>
            <w:fldChar w:fldCharType="end"/>
          </w:r>
          <w:r>
            <w:rPr>
              <w:sz w:val="28"/>
              <w:szCs w:val="28"/>
            </w:rPr>
            <w:fldChar w:fldCharType="end"/>
          </w:r>
        </w:p>
        <w:p>
          <w:pPr>
            <w:pStyle w:val="6"/>
            <w:tabs>
              <w:tab w:val="right" w:leader="dot" w:pos="8296"/>
            </w:tabs>
            <w:spacing w:line="500" w:lineRule="exact"/>
            <w:rPr>
              <w:sz w:val="28"/>
              <w:szCs w:val="28"/>
            </w:rPr>
          </w:pPr>
          <w:r>
            <w:fldChar w:fldCharType="begin"/>
          </w:r>
          <w:r>
            <w:instrText xml:space="preserve"> HYPERLINK \l "_Toc64641608" </w:instrText>
          </w:r>
          <w:r>
            <w:fldChar w:fldCharType="separate"/>
          </w:r>
          <w:r>
            <w:rPr>
              <w:rStyle w:val="16"/>
              <w:rFonts w:ascii="楷体_GB2312" w:eastAsia="楷体_GB2312"/>
              <w:kern w:val="0"/>
              <w:sz w:val="28"/>
              <w:szCs w:val="28"/>
            </w:rPr>
            <w:t>3.</w:t>
          </w:r>
          <w:r>
            <w:rPr>
              <w:rStyle w:val="16"/>
              <w:rFonts w:hint="eastAsia" w:ascii="楷体_GB2312" w:eastAsia="楷体_GB2312"/>
              <w:kern w:val="0"/>
              <w:sz w:val="28"/>
              <w:szCs w:val="28"/>
            </w:rPr>
            <w:t>严格保护耕地、节约集约用地原则</w:t>
          </w:r>
          <w:r>
            <w:rPr>
              <w:sz w:val="28"/>
              <w:szCs w:val="28"/>
            </w:rPr>
            <w:tab/>
          </w:r>
          <w:r>
            <w:rPr>
              <w:sz w:val="28"/>
              <w:szCs w:val="28"/>
            </w:rPr>
            <w:fldChar w:fldCharType="begin"/>
          </w:r>
          <w:r>
            <w:rPr>
              <w:sz w:val="28"/>
              <w:szCs w:val="28"/>
            </w:rPr>
            <w:instrText xml:space="preserve"> PAGEREF _Toc64641608 \h </w:instrText>
          </w:r>
          <w:r>
            <w:rPr>
              <w:sz w:val="28"/>
              <w:szCs w:val="28"/>
            </w:rPr>
            <w:fldChar w:fldCharType="separate"/>
          </w:r>
          <w:r>
            <w:rPr>
              <w:sz w:val="28"/>
              <w:szCs w:val="28"/>
            </w:rPr>
            <w:t>6</w:t>
          </w:r>
          <w:r>
            <w:rPr>
              <w:sz w:val="28"/>
              <w:szCs w:val="28"/>
            </w:rPr>
            <w:fldChar w:fldCharType="end"/>
          </w:r>
          <w:r>
            <w:rPr>
              <w:sz w:val="28"/>
              <w:szCs w:val="28"/>
            </w:rPr>
            <w:fldChar w:fldCharType="end"/>
          </w:r>
        </w:p>
        <w:p>
          <w:pPr>
            <w:pStyle w:val="12"/>
            <w:tabs>
              <w:tab w:val="right" w:leader="dot" w:pos="8296"/>
            </w:tabs>
            <w:spacing w:line="500" w:lineRule="exact"/>
            <w:rPr>
              <w:kern w:val="2"/>
              <w:sz w:val="28"/>
              <w:szCs w:val="28"/>
            </w:rPr>
          </w:pPr>
          <w:r>
            <w:fldChar w:fldCharType="begin"/>
          </w:r>
          <w:r>
            <w:instrText xml:space="preserve"> HYPERLINK \l "_Toc64641609" </w:instrText>
          </w:r>
          <w:r>
            <w:fldChar w:fldCharType="separate"/>
          </w:r>
          <w:r>
            <w:rPr>
              <w:rStyle w:val="16"/>
              <w:rFonts w:hint="eastAsia" w:ascii="楷体_GB2312" w:eastAsia="楷体_GB2312"/>
              <w:sz w:val="28"/>
              <w:szCs w:val="28"/>
            </w:rPr>
            <w:t>（三）方案编制依据</w:t>
          </w:r>
          <w:r>
            <w:rPr>
              <w:sz w:val="28"/>
              <w:szCs w:val="28"/>
            </w:rPr>
            <w:tab/>
          </w:r>
          <w:r>
            <w:rPr>
              <w:sz w:val="28"/>
              <w:szCs w:val="28"/>
            </w:rPr>
            <w:fldChar w:fldCharType="begin"/>
          </w:r>
          <w:r>
            <w:rPr>
              <w:sz w:val="28"/>
              <w:szCs w:val="28"/>
            </w:rPr>
            <w:instrText xml:space="preserve"> PAGEREF _Toc64641609 \h </w:instrText>
          </w:r>
          <w:r>
            <w:rPr>
              <w:sz w:val="28"/>
              <w:szCs w:val="28"/>
            </w:rPr>
            <w:fldChar w:fldCharType="separate"/>
          </w:r>
          <w:r>
            <w:rPr>
              <w:sz w:val="28"/>
              <w:szCs w:val="28"/>
            </w:rPr>
            <w:t>6</w:t>
          </w:r>
          <w:r>
            <w:rPr>
              <w:sz w:val="28"/>
              <w:szCs w:val="28"/>
            </w:rPr>
            <w:fldChar w:fldCharType="end"/>
          </w:r>
          <w:r>
            <w:rPr>
              <w:sz w:val="28"/>
              <w:szCs w:val="28"/>
            </w:rPr>
            <w:fldChar w:fldCharType="end"/>
          </w:r>
        </w:p>
        <w:p>
          <w:pPr>
            <w:pStyle w:val="10"/>
            <w:tabs>
              <w:tab w:val="right" w:leader="dot" w:pos="8296"/>
            </w:tabs>
            <w:spacing w:line="500" w:lineRule="exact"/>
            <w:rPr>
              <w:szCs w:val="28"/>
            </w:rPr>
          </w:pPr>
          <w:r>
            <w:fldChar w:fldCharType="begin"/>
          </w:r>
          <w:r>
            <w:instrText xml:space="preserve"> HYPERLINK \l "_Toc64641610" </w:instrText>
          </w:r>
          <w:r>
            <w:fldChar w:fldCharType="separate"/>
          </w:r>
          <w:r>
            <w:rPr>
              <w:rStyle w:val="16"/>
              <w:rFonts w:hint="eastAsia"/>
              <w:szCs w:val="28"/>
            </w:rPr>
            <w:t>二、方案编制条件</w:t>
          </w:r>
          <w:r>
            <w:rPr>
              <w:szCs w:val="28"/>
            </w:rPr>
            <w:tab/>
          </w:r>
          <w:r>
            <w:rPr>
              <w:szCs w:val="28"/>
            </w:rPr>
            <w:fldChar w:fldCharType="begin"/>
          </w:r>
          <w:r>
            <w:rPr>
              <w:szCs w:val="28"/>
            </w:rPr>
            <w:instrText xml:space="preserve"> PAGEREF _Toc64641610 \h </w:instrText>
          </w:r>
          <w:r>
            <w:rPr>
              <w:szCs w:val="28"/>
            </w:rPr>
            <w:fldChar w:fldCharType="separate"/>
          </w:r>
          <w:r>
            <w:rPr>
              <w:szCs w:val="28"/>
            </w:rPr>
            <w:t>7</w:t>
          </w:r>
          <w:r>
            <w:rPr>
              <w:szCs w:val="28"/>
            </w:rPr>
            <w:fldChar w:fldCharType="end"/>
          </w:r>
          <w:r>
            <w:rPr>
              <w:szCs w:val="28"/>
            </w:rPr>
            <w:fldChar w:fldCharType="end"/>
          </w:r>
        </w:p>
        <w:p>
          <w:pPr>
            <w:pStyle w:val="6"/>
            <w:tabs>
              <w:tab w:val="right" w:leader="dot" w:pos="8296"/>
            </w:tabs>
            <w:spacing w:line="500" w:lineRule="exact"/>
            <w:rPr>
              <w:sz w:val="28"/>
              <w:szCs w:val="28"/>
            </w:rPr>
          </w:pPr>
          <w:r>
            <w:fldChar w:fldCharType="begin"/>
          </w:r>
          <w:r>
            <w:instrText xml:space="preserve"> HYPERLINK \l "_Toc64641611" </w:instrText>
          </w:r>
          <w:r>
            <w:fldChar w:fldCharType="separate"/>
          </w:r>
          <w:r>
            <w:rPr>
              <w:rStyle w:val="16"/>
              <w:rFonts w:ascii="楷体_GB2312" w:eastAsia="楷体_GB2312"/>
              <w:kern w:val="0"/>
              <w:sz w:val="28"/>
              <w:szCs w:val="28"/>
            </w:rPr>
            <w:t>1.</w:t>
          </w:r>
          <w:r>
            <w:rPr>
              <w:rStyle w:val="16"/>
              <w:rFonts w:hint="eastAsia" w:ascii="楷体_GB2312" w:eastAsia="楷体_GB2312"/>
              <w:kern w:val="0"/>
              <w:sz w:val="28"/>
              <w:szCs w:val="28"/>
            </w:rPr>
            <w:t>批而未供土地和闲置土地情况</w:t>
          </w:r>
          <w:r>
            <w:rPr>
              <w:sz w:val="28"/>
              <w:szCs w:val="28"/>
            </w:rPr>
            <w:tab/>
          </w:r>
          <w:r>
            <w:rPr>
              <w:sz w:val="28"/>
              <w:szCs w:val="28"/>
            </w:rPr>
            <w:fldChar w:fldCharType="begin"/>
          </w:r>
          <w:r>
            <w:rPr>
              <w:sz w:val="28"/>
              <w:szCs w:val="28"/>
            </w:rPr>
            <w:instrText xml:space="preserve"> PAGEREF _Toc64641611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6"/>
            <w:tabs>
              <w:tab w:val="right" w:leader="dot" w:pos="8296"/>
            </w:tabs>
            <w:spacing w:line="500" w:lineRule="exact"/>
            <w:rPr>
              <w:sz w:val="28"/>
              <w:szCs w:val="28"/>
            </w:rPr>
          </w:pPr>
          <w:r>
            <w:fldChar w:fldCharType="begin"/>
          </w:r>
          <w:r>
            <w:instrText xml:space="preserve"> HYPERLINK \l "_Toc64641612" </w:instrText>
          </w:r>
          <w:r>
            <w:fldChar w:fldCharType="separate"/>
          </w:r>
          <w:r>
            <w:rPr>
              <w:rStyle w:val="16"/>
              <w:rFonts w:ascii="楷体_GB2312" w:eastAsia="楷体_GB2312"/>
              <w:kern w:val="0"/>
              <w:sz w:val="28"/>
              <w:szCs w:val="28"/>
            </w:rPr>
            <w:t>2.</w:t>
          </w:r>
          <w:r>
            <w:rPr>
              <w:rStyle w:val="16"/>
              <w:rFonts w:hint="eastAsia" w:ascii="楷体_GB2312" w:eastAsia="楷体_GB2312"/>
              <w:kern w:val="0"/>
              <w:sz w:val="28"/>
              <w:szCs w:val="28"/>
            </w:rPr>
            <w:t>开发区</w:t>
          </w:r>
          <w:r>
            <w:rPr>
              <w:rStyle w:val="16"/>
              <w:rFonts w:ascii="楷体_GB2312" w:eastAsia="楷体_GB2312"/>
              <w:kern w:val="0"/>
              <w:sz w:val="28"/>
              <w:szCs w:val="28"/>
            </w:rPr>
            <w:t>/</w:t>
          </w:r>
          <w:r>
            <w:rPr>
              <w:rStyle w:val="16"/>
              <w:rFonts w:hint="eastAsia" w:ascii="楷体_GB2312" w:eastAsia="楷体_GB2312"/>
              <w:kern w:val="0"/>
              <w:sz w:val="28"/>
              <w:szCs w:val="28"/>
            </w:rPr>
            <w:t>城市新区土地利用效率情况</w:t>
          </w:r>
          <w:r>
            <w:rPr>
              <w:sz w:val="28"/>
              <w:szCs w:val="28"/>
            </w:rPr>
            <w:tab/>
          </w:r>
          <w:r>
            <w:rPr>
              <w:sz w:val="28"/>
              <w:szCs w:val="28"/>
            </w:rPr>
            <w:fldChar w:fldCharType="begin"/>
          </w:r>
          <w:r>
            <w:rPr>
              <w:sz w:val="28"/>
              <w:szCs w:val="28"/>
            </w:rPr>
            <w:instrText xml:space="preserve"> PAGEREF _Toc64641612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6"/>
            <w:tabs>
              <w:tab w:val="right" w:leader="dot" w:pos="8296"/>
            </w:tabs>
            <w:spacing w:line="500" w:lineRule="exact"/>
            <w:rPr>
              <w:sz w:val="28"/>
              <w:szCs w:val="28"/>
            </w:rPr>
          </w:pPr>
          <w:r>
            <w:fldChar w:fldCharType="begin"/>
          </w:r>
          <w:r>
            <w:instrText xml:space="preserve"> HYPERLINK \l "_Toc64641613" </w:instrText>
          </w:r>
          <w:r>
            <w:fldChar w:fldCharType="separate"/>
          </w:r>
          <w:r>
            <w:rPr>
              <w:rStyle w:val="16"/>
              <w:rFonts w:ascii="楷体_GB2312" w:eastAsia="楷体_GB2312"/>
              <w:kern w:val="0"/>
              <w:sz w:val="28"/>
              <w:szCs w:val="28"/>
            </w:rPr>
            <w:t>3.</w:t>
          </w:r>
          <w:r>
            <w:rPr>
              <w:rStyle w:val="16"/>
              <w:rFonts w:hint="eastAsia" w:ascii="楷体_GB2312" w:eastAsia="楷体_GB2312"/>
              <w:kern w:val="0"/>
              <w:sz w:val="28"/>
              <w:szCs w:val="28"/>
            </w:rPr>
            <w:t>已批准土地征收成片开发方案实施情况</w:t>
          </w:r>
          <w:r>
            <w:rPr>
              <w:sz w:val="28"/>
              <w:szCs w:val="28"/>
            </w:rPr>
            <w:tab/>
          </w:r>
          <w:r>
            <w:rPr>
              <w:sz w:val="28"/>
              <w:szCs w:val="28"/>
            </w:rPr>
            <w:fldChar w:fldCharType="begin"/>
          </w:r>
          <w:r>
            <w:rPr>
              <w:sz w:val="28"/>
              <w:szCs w:val="28"/>
            </w:rPr>
            <w:instrText xml:space="preserve"> PAGEREF _Toc64641613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10"/>
            <w:tabs>
              <w:tab w:val="right" w:leader="dot" w:pos="8296"/>
            </w:tabs>
            <w:spacing w:line="500" w:lineRule="exact"/>
            <w:rPr>
              <w:szCs w:val="28"/>
            </w:rPr>
          </w:pPr>
          <w:r>
            <w:fldChar w:fldCharType="begin"/>
          </w:r>
          <w:r>
            <w:instrText xml:space="preserve"> HYPERLINK \l "_Toc64641614" </w:instrText>
          </w:r>
          <w:r>
            <w:fldChar w:fldCharType="separate"/>
          </w:r>
          <w:r>
            <w:rPr>
              <w:rStyle w:val="16"/>
              <w:rFonts w:hint="eastAsia"/>
              <w:szCs w:val="28"/>
            </w:rPr>
            <w:t>三、基本情况</w:t>
          </w:r>
          <w:r>
            <w:rPr>
              <w:szCs w:val="28"/>
            </w:rPr>
            <w:tab/>
          </w:r>
          <w:r>
            <w:rPr>
              <w:szCs w:val="28"/>
            </w:rPr>
            <w:fldChar w:fldCharType="begin"/>
          </w:r>
          <w:r>
            <w:rPr>
              <w:szCs w:val="28"/>
            </w:rPr>
            <w:instrText xml:space="preserve"> PAGEREF _Toc64641614 \h </w:instrText>
          </w:r>
          <w:r>
            <w:rPr>
              <w:szCs w:val="28"/>
            </w:rPr>
            <w:fldChar w:fldCharType="separate"/>
          </w:r>
          <w:r>
            <w:rPr>
              <w:szCs w:val="28"/>
            </w:rPr>
            <w:t>7</w:t>
          </w:r>
          <w:r>
            <w:rPr>
              <w:szCs w:val="28"/>
            </w:rPr>
            <w:fldChar w:fldCharType="end"/>
          </w:r>
          <w:r>
            <w:rPr>
              <w:szCs w:val="28"/>
            </w:rPr>
            <w:fldChar w:fldCharType="end"/>
          </w:r>
        </w:p>
        <w:p>
          <w:pPr>
            <w:pStyle w:val="6"/>
            <w:tabs>
              <w:tab w:val="right" w:leader="dot" w:pos="8296"/>
            </w:tabs>
            <w:spacing w:line="500" w:lineRule="exact"/>
            <w:rPr>
              <w:sz w:val="28"/>
              <w:szCs w:val="28"/>
            </w:rPr>
          </w:pPr>
          <w:r>
            <w:fldChar w:fldCharType="begin"/>
          </w:r>
          <w:r>
            <w:instrText xml:space="preserve"> HYPERLINK \l "_Toc64641615" </w:instrText>
          </w:r>
          <w:r>
            <w:fldChar w:fldCharType="separate"/>
          </w:r>
          <w:r>
            <w:rPr>
              <w:rStyle w:val="16"/>
              <w:rFonts w:ascii="楷体_GB2312" w:eastAsia="楷体_GB2312"/>
              <w:kern w:val="0"/>
              <w:sz w:val="28"/>
              <w:szCs w:val="28"/>
            </w:rPr>
            <w:t>1.</w:t>
          </w:r>
          <w:r>
            <w:rPr>
              <w:rStyle w:val="16"/>
              <w:rFonts w:hint="eastAsia" w:ascii="楷体_GB2312" w:eastAsia="楷体_GB2312"/>
              <w:kern w:val="0"/>
              <w:sz w:val="28"/>
              <w:szCs w:val="28"/>
            </w:rPr>
            <w:t>成片开发位置、范围、面积</w:t>
          </w:r>
          <w:r>
            <w:rPr>
              <w:sz w:val="28"/>
              <w:szCs w:val="28"/>
            </w:rPr>
            <w:tab/>
          </w:r>
          <w:r>
            <w:rPr>
              <w:sz w:val="28"/>
              <w:szCs w:val="28"/>
            </w:rPr>
            <w:fldChar w:fldCharType="begin"/>
          </w:r>
          <w:r>
            <w:rPr>
              <w:sz w:val="28"/>
              <w:szCs w:val="28"/>
            </w:rPr>
            <w:instrText xml:space="preserve"> PAGEREF _Toc64641615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6"/>
            <w:tabs>
              <w:tab w:val="right" w:leader="dot" w:pos="8296"/>
            </w:tabs>
            <w:spacing w:line="500" w:lineRule="exact"/>
            <w:rPr>
              <w:sz w:val="28"/>
              <w:szCs w:val="28"/>
            </w:rPr>
          </w:pPr>
          <w:r>
            <w:fldChar w:fldCharType="begin"/>
          </w:r>
          <w:r>
            <w:instrText xml:space="preserve"> HYPERLINK \l "_Toc64641616" </w:instrText>
          </w:r>
          <w:r>
            <w:fldChar w:fldCharType="separate"/>
          </w:r>
          <w:r>
            <w:rPr>
              <w:rStyle w:val="16"/>
              <w:rFonts w:ascii="楷体_GB2312" w:eastAsia="楷体_GB2312"/>
              <w:kern w:val="0"/>
              <w:sz w:val="28"/>
              <w:szCs w:val="28"/>
            </w:rPr>
            <w:t>2.</w:t>
          </w:r>
          <w:r>
            <w:rPr>
              <w:rStyle w:val="16"/>
              <w:rFonts w:hint="eastAsia" w:ascii="楷体_GB2312" w:eastAsia="楷体_GB2312"/>
              <w:kern w:val="0"/>
              <w:sz w:val="28"/>
              <w:szCs w:val="28"/>
            </w:rPr>
            <w:t>实施周期</w:t>
          </w:r>
          <w:r>
            <w:rPr>
              <w:sz w:val="28"/>
              <w:szCs w:val="28"/>
            </w:rPr>
            <w:tab/>
          </w:r>
          <w:r>
            <w:rPr>
              <w:sz w:val="28"/>
              <w:szCs w:val="28"/>
            </w:rPr>
            <w:fldChar w:fldCharType="begin"/>
          </w:r>
          <w:r>
            <w:rPr>
              <w:sz w:val="28"/>
              <w:szCs w:val="28"/>
            </w:rPr>
            <w:instrText xml:space="preserve"> PAGEREF _Toc64641616 \h </w:instrText>
          </w:r>
          <w:r>
            <w:rPr>
              <w:sz w:val="28"/>
              <w:szCs w:val="28"/>
            </w:rPr>
            <w:fldChar w:fldCharType="separate"/>
          </w:r>
          <w:r>
            <w:rPr>
              <w:sz w:val="28"/>
              <w:szCs w:val="28"/>
            </w:rPr>
            <w:t>8</w:t>
          </w:r>
          <w:r>
            <w:rPr>
              <w:sz w:val="28"/>
              <w:szCs w:val="28"/>
            </w:rPr>
            <w:fldChar w:fldCharType="end"/>
          </w:r>
          <w:r>
            <w:rPr>
              <w:sz w:val="28"/>
              <w:szCs w:val="28"/>
            </w:rPr>
            <w:fldChar w:fldCharType="end"/>
          </w:r>
        </w:p>
        <w:p>
          <w:pPr>
            <w:pStyle w:val="10"/>
            <w:tabs>
              <w:tab w:val="right" w:leader="dot" w:pos="8296"/>
            </w:tabs>
            <w:spacing w:line="500" w:lineRule="exact"/>
            <w:rPr>
              <w:szCs w:val="28"/>
            </w:rPr>
          </w:pPr>
          <w:r>
            <w:fldChar w:fldCharType="begin"/>
          </w:r>
          <w:r>
            <w:instrText xml:space="preserve"> HYPERLINK \l "_Toc64641617" </w:instrText>
          </w:r>
          <w:r>
            <w:fldChar w:fldCharType="separate"/>
          </w:r>
          <w:r>
            <w:rPr>
              <w:rStyle w:val="16"/>
              <w:rFonts w:hint="eastAsia"/>
              <w:szCs w:val="28"/>
            </w:rPr>
            <w:t>四、必要性分析</w:t>
          </w:r>
          <w:r>
            <w:rPr>
              <w:szCs w:val="28"/>
            </w:rPr>
            <w:tab/>
          </w:r>
          <w:r>
            <w:rPr>
              <w:szCs w:val="28"/>
            </w:rPr>
            <w:fldChar w:fldCharType="begin"/>
          </w:r>
          <w:r>
            <w:rPr>
              <w:szCs w:val="28"/>
            </w:rPr>
            <w:instrText xml:space="preserve"> PAGEREF _Toc64641617 \h </w:instrText>
          </w:r>
          <w:r>
            <w:rPr>
              <w:szCs w:val="28"/>
            </w:rPr>
            <w:fldChar w:fldCharType="separate"/>
          </w:r>
          <w:r>
            <w:rPr>
              <w:szCs w:val="28"/>
            </w:rPr>
            <w:t>8</w:t>
          </w:r>
          <w:r>
            <w:rPr>
              <w:szCs w:val="28"/>
            </w:rPr>
            <w:fldChar w:fldCharType="end"/>
          </w:r>
          <w:r>
            <w:rPr>
              <w:szCs w:val="28"/>
            </w:rPr>
            <w:fldChar w:fldCharType="end"/>
          </w:r>
        </w:p>
        <w:p>
          <w:pPr>
            <w:pStyle w:val="10"/>
            <w:tabs>
              <w:tab w:val="right" w:leader="dot" w:pos="8296"/>
            </w:tabs>
            <w:spacing w:line="500" w:lineRule="exact"/>
            <w:rPr>
              <w:szCs w:val="28"/>
            </w:rPr>
          </w:pPr>
          <w:r>
            <w:fldChar w:fldCharType="begin"/>
          </w:r>
          <w:r>
            <w:instrText xml:space="preserve"> HYPERLINK \l "_Toc64641618" </w:instrText>
          </w:r>
          <w:r>
            <w:fldChar w:fldCharType="separate"/>
          </w:r>
          <w:r>
            <w:rPr>
              <w:rStyle w:val="16"/>
              <w:rFonts w:hint="eastAsia"/>
              <w:szCs w:val="28"/>
            </w:rPr>
            <w:t>五、主要用途、实现功能及公益性用地比例</w:t>
          </w:r>
          <w:r>
            <w:rPr>
              <w:szCs w:val="28"/>
            </w:rPr>
            <w:tab/>
          </w:r>
          <w:r>
            <w:rPr>
              <w:szCs w:val="28"/>
            </w:rPr>
            <w:fldChar w:fldCharType="begin"/>
          </w:r>
          <w:r>
            <w:rPr>
              <w:szCs w:val="28"/>
            </w:rPr>
            <w:instrText xml:space="preserve"> PAGEREF _Toc64641618 \h </w:instrText>
          </w:r>
          <w:r>
            <w:rPr>
              <w:szCs w:val="28"/>
            </w:rPr>
            <w:fldChar w:fldCharType="separate"/>
          </w:r>
          <w:r>
            <w:rPr>
              <w:szCs w:val="28"/>
            </w:rPr>
            <w:t>9</w:t>
          </w:r>
          <w:r>
            <w:rPr>
              <w:szCs w:val="28"/>
            </w:rPr>
            <w:fldChar w:fldCharType="end"/>
          </w:r>
          <w:r>
            <w:rPr>
              <w:szCs w:val="28"/>
            </w:rPr>
            <w:fldChar w:fldCharType="end"/>
          </w:r>
        </w:p>
        <w:p>
          <w:pPr>
            <w:pStyle w:val="10"/>
            <w:tabs>
              <w:tab w:val="right" w:leader="dot" w:pos="8296"/>
            </w:tabs>
            <w:spacing w:line="500" w:lineRule="exact"/>
            <w:rPr>
              <w:szCs w:val="28"/>
            </w:rPr>
          </w:pPr>
          <w:r>
            <w:fldChar w:fldCharType="begin"/>
          </w:r>
          <w:r>
            <w:instrText xml:space="preserve"> HYPERLINK \l "_Toc64641619" </w:instrText>
          </w:r>
          <w:r>
            <w:fldChar w:fldCharType="separate"/>
          </w:r>
          <w:r>
            <w:rPr>
              <w:rStyle w:val="16"/>
              <w:rFonts w:hint="eastAsia"/>
              <w:szCs w:val="28"/>
            </w:rPr>
            <w:t>六、实施计划</w:t>
          </w:r>
          <w:r>
            <w:rPr>
              <w:szCs w:val="28"/>
            </w:rPr>
            <w:tab/>
          </w:r>
          <w:r>
            <w:rPr>
              <w:szCs w:val="28"/>
            </w:rPr>
            <w:fldChar w:fldCharType="begin"/>
          </w:r>
          <w:r>
            <w:rPr>
              <w:szCs w:val="28"/>
            </w:rPr>
            <w:instrText xml:space="preserve"> PAGEREF _Toc64641619 \h </w:instrText>
          </w:r>
          <w:r>
            <w:rPr>
              <w:szCs w:val="28"/>
            </w:rPr>
            <w:fldChar w:fldCharType="separate"/>
          </w:r>
          <w:r>
            <w:rPr>
              <w:szCs w:val="28"/>
            </w:rPr>
            <w:t>10</w:t>
          </w:r>
          <w:r>
            <w:rPr>
              <w:szCs w:val="28"/>
            </w:rPr>
            <w:fldChar w:fldCharType="end"/>
          </w:r>
          <w:r>
            <w:rPr>
              <w:szCs w:val="28"/>
            </w:rPr>
            <w:fldChar w:fldCharType="end"/>
          </w:r>
        </w:p>
        <w:p>
          <w:pPr>
            <w:pStyle w:val="10"/>
            <w:tabs>
              <w:tab w:val="right" w:leader="dot" w:pos="8296"/>
            </w:tabs>
            <w:spacing w:line="500" w:lineRule="exact"/>
            <w:rPr>
              <w:szCs w:val="28"/>
            </w:rPr>
          </w:pPr>
          <w:r>
            <w:fldChar w:fldCharType="begin"/>
          </w:r>
          <w:r>
            <w:instrText xml:space="preserve"> HYPERLINK \l "_Toc64641620" </w:instrText>
          </w:r>
          <w:r>
            <w:fldChar w:fldCharType="separate"/>
          </w:r>
          <w:r>
            <w:rPr>
              <w:rStyle w:val="16"/>
              <w:rFonts w:hint="eastAsia"/>
              <w:szCs w:val="28"/>
            </w:rPr>
            <w:t>七、合规性分析</w:t>
          </w:r>
          <w:r>
            <w:rPr>
              <w:szCs w:val="28"/>
            </w:rPr>
            <w:tab/>
          </w:r>
          <w:r>
            <w:rPr>
              <w:szCs w:val="28"/>
            </w:rPr>
            <w:fldChar w:fldCharType="begin"/>
          </w:r>
          <w:r>
            <w:rPr>
              <w:szCs w:val="28"/>
            </w:rPr>
            <w:instrText xml:space="preserve"> PAGEREF _Toc64641620 \h </w:instrText>
          </w:r>
          <w:r>
            <w:rPr>
              <w:szCs w:val="28"/>
            </w:rPr>
            <w:fldChar w:fldCharType="separate"/>
          </w:r>
          <w:r>
            <w:rPr>
              <w:szCs w:val="28"/>
            </w:rPr>
            <w:t>10</w:t>
          </w:r>
          <w:r>
            <w:rPr>
              <w:szCs w:val="28"/>
            </w:rPr>
            <w:fldChar w:fldCharType="end"/>
          </w:r>
          <w:r>
            <w:rPr>
              <w:szCs w:val="28"/>
            </w:rPr>
            <w:fldChar w:fldCharType="end"/>
          </w:r>
        </w:p>
        <w:p>
          <w:pPr>
            <w:pStyle w:val="6"/>
            <w:tabs>
              <w:tab w:val="right" w:leader="dot" w:pos="8296"/>
            </w:tabs>
            <w:spacing w:line="500" w:lineRule="exact"/>
            <w:rPr>
              <w:sz w:val="28"/>
              <w:szCs w:val="28"/>
            </w:rPr>
          </w:pPr>
          <w:r>
            <w:fldChar w:fldCharType="begin"/>
          </w:r>
          <w:r>
            <w:instrText xml:space="preserve"> HYPERLINK \l "_Toc64641621" </w:instrText>
          </w:r>
          <w:r>
            <w:fldChar w:fldCharType="separate"/>
          </w:r>
          <w:r>
            <w:rPr>
              <w:rStyle w:val="16"/>
              <w:rFonts w:ascii="楷体_GB2312" w:eastAsia="楷体_GB2312"/>
              <w:kern w:val="0"/>
              <w:sz w:val="28"/>
              <w:szCs w:val="28"/>
            </w:rPr>
            <w:t>1.</w:t>
          </w:r>
          <w:r>
            <w:rPr>
              <w:rStyle w:val="16"/>
              <w:rFonts w:hint="eastAsia" w:ascii="楷体_GB2312" w:eastAsia="楷体_GB2312"/>
              <w:kern w:val="0"/>
              <w:sz w:val="28"/>
              <w:szCs w:val="28"/>
            </w:rPr>
            <w:t>国土空间规划</w:t>
          </w:r>
          <w:r>
            <w:rPr>
              <w:sz w:val="28"/>
              <w:szCs w:val="28"/>
            </w:rPr>
            <w:tab/>
          </w:r>
          <w:r>
            <w:rPr>
              <w:sz w:val="28"/>
              <w:szCs w:val="28"/>
            </w:rPr>
            <w:fldChar w:fldCharType="begin"/>
          </w:r>
          <w:r>
            <w:rPr>
              <w:sz w:val="28"/>
              <w:szCs w:val="28"/>
            </w:rPr>
            <w:instrText xml:space="preserve"> PAGEREF _Toc64641621 \h </w:instrText>
          </w:r>
          <w:r>
            <w:rPr>
              <w:sz w:val="28"/>
              <w:szCs w:val="28"/>
            </w:rPr>
            <w:fldChar w:fldCharType="separate"/>
          </w:r>
          <w:r>
            <w:rPr>
              <w:sz w:val="28"/>
              <w:szCs w:val="28"/>
            </w:rPr>
            <w:t>10</w:t>
          </w:r>
          <w:r>
            <w:rPr>
              <w:sz w:val="28"/>
              <w:szCs w:val="28"/>
            </w:rPr>
            <w:fldChar w:fldCharType="end"/>
          </w:r>
          <w:r>
            <w:rPr>
              <w:sz w:val="28"/>
              <w:szCs w:val="28"/>
            </w:rPr>
            <w:fldChar w:fldCharType="end"/>
          </w:r>
        </w:p>
        <w:p>
          <w:pPr>
            <w:pStyle w:val="6"/>
            <w:tabs>
              <w:tab w:val="right" w:leader="dot" w:pos="8296"/>
            </w:tabs>
            <w:spacing w:line="500" w:lineRule="exact"/>
            <w:rPr>
              <w:sz w:val="28"/>
              <w:szCs w:val="28"/>
            </w:rPr>
          </w:pPr>
          <w:r>
            <w:fldChar w:fldCharType="begin"/>
          </w:r>
          <w:r>
            <w:instrText xml:space="preserve"> HYPERLINK \l "_Toc64641622" </w:instrText>
          </w:r>
          <w:r>
            <w:fldChar w:fldCharType="separate"/>
          </w:r>
          <w:r>
            <w:rPr>
              <w:rStyle w:val="16"/>
              <w:rFonts w:ascii="楷体_GB2312" w:eastAsia="楷体_GB2312"/>
              <w:kern w:val="0"/>
              <w:sz w:val="28"/>
              <w:szCs w:val="28"/>
            </w:rPr>
            <w:t>2.</w:t>
          </w:r>
          <w:r>
            <w:rPr>
              <w:rStyle w:val="16"/>
              <w:rFonts w:hint="eastAsia" w:ascii="楷体_GB2312" w:eastAsia="楷体_GB2312"/>
              <w:kern w:val="0"/>
              <w:sz w:val="28"/>
              <w:szCs w:val="28"/>
            </w:rPr>
            <w:t>国民经济和社会发展规划、年度计划</w:t>
          </w:r>
          <w:r>
            <w:rPr>
              <w:sz w:val="28"/>
              <w:szCs w:val="28"/>
            </w:rPr>
            <w:tab/>
          </w:r>
          <w:r>
            <w:rPr>
              <w:sz w:val="28"/>
              <w:szCs w:val="28"/>
            </w:rPr>
            <w:fldChar w:fldCharType="begin"/>
          </w:r>
          <w:r>
            <w:rPr>
              <w:sz w:val="28"/>
              <w:szCs w:val="28"/>
            </w:rPr>
            <w:instrText xml:space="preserve"> PAGEREF _Toc64641622 \h </w:instrText>
          </w:r>
          <w:r>
            <w:rPr>
              <w:sz w:val="28"/>
              <w:szCs w:val="28"/>
            </w:rPr>
            <w:fldChar w:fldCharType="separate"/>
          </w:r>
          <w:r>
            <w:rPr>
              <w:sz w:val="28"/>
              <w:szCs w:val="28"/>
            </w:rPr>
            <w:t>10</w:t>
          </w:r>
          <w:r>
            <w:rPr>
              <w:sz w:val="28"/>
              <w:szCs w:val="28"/>
            </w:rPr>
            <w:fldChar w:fldCharType="end"/>
          </w:r>
          <w:r>
            <w:rPr>
              <w:sz w:val="28"/>
              <w:szCs w:val="28"/>
            </w:rPr>
            <w:fldChar w:fldCharType="end"/>
          </w:r>
        </w:p>
        <w:p>
          <w:pPr>
            <w:pStyle w:val="6"/>
            <w:tabs>
              <w:tab w:val="right" w:leader="dot" w:pos="8296"/>
            </w:tabs>
            <w:spacing w:line="500" w:lineRule="exact"/>
            <w:rPr>
              <w:sz w:val="28"/>
              <w:szCs w:val="28"/>
            </w:rPr>
          </w:pPr>
          <w:r>
            <w:fldChar w:fldCharType="begin"/>
          </w:r>
          <w:r>
            <w:instrText xml:space="preserve"> HYPERLINK \l "_Toc64641623" </w:instrText>
          </w:r>
          <w:r>
            <w:fldChar w:fldCharType="separate"/>
          </w:r>
          <w:r>
            <w:rPr>
              <w:rStyle w:val="16"/>
              <w:rFonts w:ascii="楷体_GB2312" w:eastAsia="楷体_GB2312"/>
              <w:kern w:val="0"/>
              <w:sz w:val="28"/>
              <w:szCs w:val="28"/>
            </w:rPr>
            <w:t>3.</w:t>
          </w:r>
          <w:r>
            <w:rPr>
              <w:rStyle w:val="16"/>
              <w:rFonts w:hint="eastAsia" w:ascii="楷体_GB2312" w:eastAsia="楷体_GB2312"/>
              <w:kern w:val="0"/>
              <w:sz w:val="28"/>
              <w:szCs w:val="28"/>
            </w:rPr>
            <w:t>占用永久基本农田、生态保护红线和其他法律法规规定不允许占用或开发的</w:t>
          </w:r>
          <w:r>
            <w:rPr>
              <w:sz w:val="28"/>
              <w:szCs w:val="28"/>
            </w:rPr>
            <w:tab/>
          </w:r>
          <w:r>
            <w:rPr>
              <w:sz w:val="28"/>
              <w:szCs w:val="28"/>
            </w:rPr>
            <w:fldChar w:fldCharType="begin"/>
          </w:r>
          <w:r>
            <w:rPr>
              <w:sz w:val="28"/>
              <w:szCs w:val="28"/>
            </w:rPr>
            <w:instrText xml:space="preserve"> PAGEREF _Toc64641623 \h </w:instrText>
          </w:r>
          <w:r>
            <w:rPr>
              <w:sz w:val="28"/>
              <w:szCs w:val="28"/>
            </w:rPr>
            <w:fldChar w:fldCharType="separate"/>
          </w:r>
          <w:r>
            <w:rPr>
              <w:sz w:val="28"/>
              <w:szCs w:val="28"/>
            </w:rPr>
            <w:t>11</w:t>
          </w:r>
          <w:r>
            <w:rPr>
              <w:sz w:val="28"/>
              <w:szCs w:val="28"/>
            </w:rPr>
            <w:fldChar w:fldCharType="end"/>
          </w:r>
          <w:r>
            <w:rPr>
              <w:sz w:val="28"/>
              <w:szCs w:val="28"/>
            </w:rPr>
            <w:fldChar w:fldCharType="end"/>
          </w:r>
        </w:p>
        <w:p>
          <w:pPr>
            <w:pStyle w:val="10"/>
            <w:tabs>
              <w:tab w:val="right" w:leader="dot" w:pos="8296"/>
            </w:tabs>
            <w:spacing w:line="500" w:lineRule="exact"/>
            <w:rPr>
              <w:szCs w:val="28"/>
            </w:rPr>
          </w:pPr>
          <w:r>
            <w:fldChar w:fldCharType="begin"/>
          </w:r>
          <w:r>
            <w:instrText xml:space="preserve"> HYPERLINK \l "_Toc64641624" </w:instrText>
          </w:r>
          <w:r>
            <w:fldChar w:fldCharType="separate"/>
          </w:r>
          <w:r>
            <w:rPr>
              <w:rStyle w:val="16"/>
              <w:rFonts w:hint="eastAsia"/>
              <w:szCs w:val="28"/>
            </w:rPr>
            <w:t>八、土地利用效益评估</w:t>
          </w:r>
          <w:r>
            <w:rPr>
              <w:szCs w:val="28"/>
            </w:rPr>
            <w:tab/>
          </w:r>
          <w:r>
            <w:rPr>
              <w:szCs w:val="28"/>
            </w:rPr>
            <w:fldChar w:fldCharType="begin"/>
          </w:r>
          <w:r>
            <w:rPr>
              <w:szCs w:val="28"/>
            </w:rPr>
            <w:instrText xml:space="preserve"> PAGEREF _Toc64641624 \h </w:instrText>
          </w:r>
          <w:r>
            <w:rPr>
              <w:szCs w:val="28"/>
            </w:rPr>
            <w:fldChar w:fldCharType="separate"/>
          </w:r>
          <w:r>
            <w:rPr>
              <w:szCs w:val="28"/>
            </w:rPr>
            <w:t>11</w:t>
          </w:r>
          <w:r>
            <w:rPr>
              <w:szCs w:val="28"/>
            </w:rPr>
            <w:fldChar w:fldCharType="end"/>
          </w:r>
          <w:r>
            <w:rPr>
              <w:szCs w:val="28"/>
            </w:rPr>
            <w:fldChar w:fldCharType="end"/>
          </w:r>
        </w:p>
        <w:p>
          <w:pPr>
            <w:pStyle w:val="6"/>
            <w:tabs>
              <w:tab w:val="right" w:leader="dot" w:pos="8296"/>
            </w:tabs>
            <w:spacing w:line="500" w:lineRule="exact"/>
            <w:rPr>
              <w:sz w:val="28"/>
              <w:szCs w:val="28"/>
            </w:rPr>
          </w:pPr>
          <w:r>
            <w:fldChar w:fldCharType="begin"/>
          </w:r>
          <w:r>
            <w:instrText xml:space="preserve"> HYPERLINK \l "_Toc64641625" </w:instrText>
          </w:r>
          <w:r>
            <w:fldChar w:fldCharType="separate"/>
          </w:r>
          <w:r>
            <w:rPr>
              <w:rStyle w:val="16"/>
              <w:rFonts w:ascii="楷体_GB2312" w:eastAsia="楷体_GB2312"/>
              <w:kern w:val="0"/>
              <w:sz w:val="28"/>
              <w:szCs w:val="28"/>
            </w:rPr>
            <w:t>1.</w:t>
          </w:r>
          <w:r>
            <w:rPr>
              <w:rStyle w:val="16"/>
              <w:rFonts w:hint="eastAsia" w:ascii="楷体_GB2312" w:eastAsia="楷体_GB2312"/>
              <w:kern w:val="0"/>
              <w:sz w:val="28"/>
              <w:szCs w:val="28"/>
            </w:rPr>
            <w:t>经济效益</w:t>
          </w:r>
          <w:r>
            <w:rPr>
              <w:sz w:val="28"/>
              <w:szCs w:val="28"/>
            </w:rPr>
            <w:tab/>
          </w:r>
          <w:r>
            <w:rPr>
              <w:sz w:val="28"/>
              <w:szCs w:val="28"/>
            </w:rPr>
            <w:fldChar w:fldCharType="begin"/>
          </w:r>
          <w:r>
            <w:rPr>
              <w:sz w:val="28"/>
              <w:szCs w:val="28"/>
            </w:rPr>
            <w:instrText xml:space="preserve"> PAGEREF _Toc64641625 \h </w:instrText>
          </w:r>
          <w:r>
            <w:rPr>
              <w:sz w:val="28"/>
              <w:szCs w:val="28"/>
            </w:rPr>
            <w:fldChar w:fldCharType="separate"/>
          </w:r>
          <w:r>
            <w:rPr>
              <w:sz w:val="28"/>
              <w:szCs w:val="28"/>
            </w:rPr>
            <w:t>11</w:t>
          </w:r>
          <w:r>
            <w:rPr>
              <w:sz w:val="28"/>
              <w:szCs w:val="28"/>
            </w:rPr>
            <w:fldChar w:fldCharType="end"/>
          </w:r>
          <w:r>
            <w:rPr>
              <w:sz w:val="28"/>
              <w:szCs w:val="28"/>
            </w:rPr>
            <w:fldChar w:fldCharType="end"/>
          </w:r>
        </w:p>
        <w:p>
          <w:pPr>
            <w:pStyle w:val="6"/>
            <w:tabs>
              <w:tab w:val="right" w:leader="dot" w:pos="8296"/>
            </w:tabs>
            <w:spacing w:line="500" w:lineRule="exact"/>
            <w:rPr>
              <w:sz w:val="28"/>
              <w:szCs w:val="28"/>
            </w:rPr>
          </w:pPr>
          <w:r>
            <w:fldChar w:fldCharType="begin"/>
          </w:r>
          <w:r>
            <w:instrText xml:space="preserve"> HYPERLINK \l "_Toc64641626" </w:instrText>
          </w:r>
          <w:r>
            <w:fldChar w:fldCharType="separate"/>
          </w:r>
          <w:r>
            <w:rPr>
              <w:rStyle w:val="16"/>
              <w:rFonts w:ascii="楷体_GB2312" w:eastAsia="楷体_GB2312"/>
              <w:kern w:val="0"/>
              <w:sz w:val="28"/>
              <w:szCs w:val="28"/>
            </w:rPr>
            <w:t>2.</w:t>
          </w:r>
          <w:r>
            <w:rPr>
              <w:rStyle w:val="16"/>
              <w:rFonts w:hint="eastAsia" w:ascii="楷体_GB2312" w:eastAsia="楷体_GB2312"/>
              <w:kern w:val="0"/>
              <w:sz w:val="28"/>
              <w:szCs w:val="28"/>
            </w:rPr>
            <w:t>社会效益</w:t>
          </w:r>
          <w:r>
            <w:rPr>
              <w:sz w:val="28"/>
              <w:szCs w:val="28"/>
            </w:rPr>
            <w:tab/>
          </w:r>
          <w:r>
            <w:rPr>
              <w:sz w:val="28"/>
              <w:szCs w:val="28"/>
            </w:rPr>
            <w:fldChar w:fldCharType="begin"/>
          </w:r>
          <w:r>
            <w:rPr>
              <w:sz w:val="28"/>
              <w:szCs w:val="28"/>
            </w:rPr>
            <w:instrText xml:space="preserve"> PAGEREF _Toc64641626 \h </w:instrText>
          </w:r>
          <w:r>
            <w:rPr>
              <w:sz w:val="28"/>
              <w:szCs w:val="28"/>
            </w:rPr>
            <w:fldChar w:fldCharType="separate"/>
          </w:r>
          <w:r>
            <w:rPr>
              <w:sz w:val="28"/>
              <w:szCs w:val="28"/>
            </w:rPr>
            <w:t>11</w:t>
          </w:r>
          <w:r>
            <w:rPr>
              <w:sz w:val="28"/>
              <w:szCs w:val="28"/>
            </w:rPr>
            <w:fldChar w:fldCharType="end"/>
          </w:r>
          <w:r>
            <w:rPr>
              <w:sz w:val="28"/>
              <w:szCs w:val="28"/>
            </w:rPr>
            <w:fldChar w:fldCharType="end"/>
          </w:r>
        </w:p>
        <w:p>
          <w:pPr>
            <w:pStyle w:val="6"/>
            <w:tabs>
              <w:tab w:val="right" w:leader="dot" w:pos="8296"/>
            </w:tabs>
            <w:spacing w:line="500" w:lineRule="exact"/>
            <w:rPr>
              <w:sz w:val="28"/>
              <w:szCs w:val="28"/>
            </w:rPr>
          </w:pPr>
          <w:r>
            <w:fldChar w:fldCharType="begin"/>
          </w:r>
          <w:r>
            <w:instrText xml:space="preserve"> HYPERLINK \l "_Toc64641627" </w:instrText>
          </w:r>
          <w:r>
            <w:fldChar w:fldCharType="separate"/>
          </w:r>
          <w:r>
            <w:rPr>
              <w:rStyle w:val="16"/>
              <w:rFonts w:ascii="楷体_GB2312" w:eastAsia="楷体_GB2312"/>
              <w:kern w:val="0"/>
              <w:sz w:val="28"/>
              <w:szCs w:val="28"/>
            </w:rPr>
            <w:t>3.</w:t>
          </w:r>
          <w:r>
            <w:rPr>
              <w:rStyle w:val="16"/>
              <w:rFonts w:hint="eastAsia" w:ascii="楷体_GB2312" w:eastAsia="楷体_GB2312"/>
              <w:kern w:val="0"/>
              <w:sz w:val="28"/>
              <w:szCs w:val="28"/>
            </w:rPr>
            <w:t>生态效益</w:t>
          </w:r>
          <w:r>
            <w:rPr>
              <w:sz w:val="28"/>
              <w:szCs w:val="28"/>
            </w:rPr>
            <w:tab/>
          </w:r>
          <w:r>
            <w:rPr>
              <w:sz w:val="28"/>
              <w:szCs w:val="28"/>
            </w:rPr>
            <w:fldChar w:fldCharType="begin"/>
          </w:r>
          <w:r>
            <w:rPr>
              <w:sz w:val="28"/>
              <w:szCs w:val="28"/>
            </w:rPr>
            <w:instrText xml:space="preserve"> PAGEREF _Toc64641627 \h </w:instrText>
          </w:r>
          <w:r>
            <w:rPr>
              <w:sz w:val="28"/>
              <w:szCs w:val="28"/>
            </w:rPr>
            <w:fldChar w:fldCharType="separate"/>
          </w:r>
          <w:r>
            <w:rPr>
              <w:sz w:val="28"/>
              <w:szCs w:val="28"/>
            </w:rPr>
            <w:t>11</w:t>
          </w:r>
          <w:r>
            <w:rPr>
              <w:sz w:val="28"/>
              <w:szCs w:val="28"/>
            </w:rPr>
            <w:fldChar w:fldCharType="end"/>
          </w:r>
          <w:r>
            <w:rPr>
              <w:sz w:val="28"/>
              <w:szCs w:val="28"/>
            </w:rPr>
            <w:fldChar w:fldCharType="end"/>
          </w:r>
        </w:p>
        <w:p>
          <w:pPr>
            <w:pStyle w:val="10"/>
            <w:tabs>
              <w:tab w:val="right" w:leader="dot" w:pos="8296"/>
            </w:tabs>
            <w:spacing w:line="500" w:lineRule="exact"/>
            <w:rPr>
              <w:szCs w:val="28"/>
            </w:rPr>
          </w:pPr>
          <w:r>
            <w:fldChar w:fldCharType="begin"/>
          </w:r>
          <w:r>
            <w:instrText xml:space="preserve"> HYPERLINK \l "_Toc64641628" </w:instrText>
          </w:r>
          <w:r>
            <w:fldChar w:fldCharType="separate"/>
          </w:r>
          <w:r>
            <w:rPr>
              <w:rStyle w:val="16"/>
              <w:rFonts w:hint="eastAsia"/>
              <w:szCs w:val="28"/>
            </w:rPr>
            <w:t>九、征求意见情况</w:t>
          </w:r>
          <w:r>
            <w:rPr>
              <w:szCs w:val="28"/>
            </w:rPr>
            <w:tab/>
          </w:r>
          <w:r>
            <w:rPr>
              <w:szCs w:val="28"/>
            </w:rPr>
            <w:fldChar w:fldCharType="begin"/>
          </w:r>
          <w:r>
            <w:rPr>
              <w:szCs w:val="28"/>
            </w:rPr>
            <w:instrText xml:space="preserve"> PAGEREF _Toc64641628 \h </w:instrText>
          </w:r>
          <w:r>
            <w:rPr>
              <w:szCs w:val="28"/>
            </w:rPr>
            <w:fldChar w:fldCharType="separate"/>
          </w:r>
          <w:r>
            <w:rPr>
              <w:szCs w:val="28"/>
            </w:rPr>
            <w:t>12</w:t>
          </w:r>
          <w:r>
            <w:rPr>
              <w:szCs w:val="28"/>
            </w:rPr>
            <w:fldChar w:fldCharType="end"/>
          </w:r>
          <w:r>
            <w:rPr>
              <w:szCs w:val="28"/>
            </w:rPr>
            <w:fldChar w:fldCharType="end"/>
          </w:r>
        </w:p>
        <w:p>
          <w:pPr>
            <w:pStyle w:val="6"/>
            <w:tabs>
              <w:tab w:val="right" w:leader="dot" w:pos="8296"/>
            </w:tabs>
            <w:spacing w:line="500" w:lineRule="exact"/>
            <w:rPr>
              <w:sz w:val="28"/>
              <w:szCs w:val="28"/>
            </w:rPr>
          </w:pPr>
          <w:r>
            <w:fldChar w:fldCharType="begin"/>
          </w:r>
          <w:r>
            <w:instrText xml:space="preserve"> HYPERLINK \l "_Toc64641629" </w:instrText>
          </w:r>
          <w:r>
            <w:fldChar w:fldCharType="separate"/>
          </w:r>
          <w:r>
            <w:rPr>
              <w:rStyle w:val="16"/>
              <w:rFonts w:ascii="楷体_GB2312" w:eastAsia="楷体_GB2312"/>
              <w:kern w:val="0"/>
              <w:sz w:val="28"/>
              <w:szCs w:val="28"/>
            </w:rPr>
            <w:t>1.</w:t>
          </w:r>
          <w:r>
            <w:rPr>
              <w:rStyle w:val="16"/>
              <w:rFonts w:hint="eastAsia" w:ascii="楷体_GB2312" w:eastAsia="楷体_GB2312"/>
              <w:kern w:val="0"/>
              <w:sz w:val="28"/>
              <w:szCs w:val="28"/>
            </w:rPr>
            <w:t>征求集体经济组织和村民意见</w:t>
          </w:r>
          <w:r>
            <w:rPr>
              <w:sz w:val="28"/>
              <w:szCs w:val="28"/>
            </w:rPr>
            <w:tab/>
          </w:r>
          <w:r>
            <w:rPr>
              <w:sz w:val="28"/>
              <w:szCs w:val="28"/>
            </w:rPr>
            <w:fldChar w:fldCharType="begin"/>
          </w:r>
          <w:r>
            <w:rPr>
              <w:sz w:val="28"/>
              <w:szCs w:val="28"/>
            </w:rPr>
            <w:instrText xml:space="preserve"> PAGEREF _Toc64641629 \h </w:instrText>
          </w:r>
          <w:r>
            <w:rPr>
              <w:sz w:val="28"/>
              <w:szCs w:val="28"/>
            </w:rPr>
            <w:fldChar w:fldCharType="separate"/>
          </w:r>
          <w:r>
            <w:rPr>
              <w:sz w:val="28"/>
              <w:szCs w:val="28"/>
            </w:rPr>
            <w:t>12</w:t>
          </w:r>
          <w:r>
            <w:rPr>
              <w:sz w:val="28"/>
              <w:szCs w:val="28"/>
            </w:rPr>
            <w:fldChar w:fldCharType="end"/>
          </w:r>
          <w:r>
            <w:rPr>
              <w:sz w:val="28"/>
              <w:szCs w:val="28"/>
            </w:rPr>
            <w:fldChar w:fldCharType="end"/>
          </w:r>
        </w:p>
        <w:p>
          <w:pPr>
            <w:pStyle w:val="6"/>
            <w:tabs>
              <w:tab w:val="right" w:leader="dot" w:pos="8296"/>
            </w:tabs>
            <w:spacing w:line="500" w:lineRule="exact"/>
            <w:rPr>
              <w:sz w:val="28"/>
              <w:szCs w:val="28"/>
            </w:rPr>
          </w:pPr>
          <w:r>
            <w:fldChar w:fldCharType="begin"/>
          </w:r>
          <w:r>
            <w:instrText xml:space="preserve"> HYPERLINK \l "_Toc64641630" </w:instrText>
          </w:r>
          <w:r>
            <w:fldChar w:fldCharType="separate"/>
          </w:r>
          <w:r>
            <w:rPr>
              <w:rStyle w:val="16"/>
              <w:rFonts w:ascii="楷体_GB2312" w:eastAsia="楷体_GB2312"/>
              <w:kern w:val="0"/>
              <w:sz w:val="28"/>
              <w:szCs w:val="28"/>
            </w:rPr>
            <w:t>2.</w:t>
          </w:r>
          <w:r>
            <w:rPr>
              <w:rStyle w:val="16"/>
              <w:rFonts w:hint="eastAsia" w:ascii="楷体_GB2312" w:eastAsia="楷体_GB2312"/>
              <w:kern w:val="0"/>
              <w:sz w:val="28"/>
              <w:szCs w:val="28"/>
            </w:rPr>
            <w:t>听取人大代表、政协委员、社会公众和有关专家学者意见</w:t>
          </w:r>
          <w:r>
            <w:rPr>
              <w:sz w:val="28"/>
              <w:szCs w:val="28"/>
            </w:rPr>
            <w:tab/>
          </w:r>
          <w:r>
            <w:rPr>
              <w:sz w:val="28"/>
              <w:szCs w:val="28"/>
            </w:rPr>
            <w:fldChar w:fldCharType="begin"/>
          </w:r>
          <w:r>
            <w:rPr>
              <w:sz w:val="28"/>
              <w:szCs w:val="28"/>
            </w:rPr>
            <w:instrText xml:space="preserve"> PAGEREF _Toc64641630 \h </w:instrText>
          </w:r>
          <w:r>
            <w:rPr>
              <w:sz w:val="28"/>
              <w:szCs w:val="28"/>
            </w:rPr>
            <w:fldChar w:fldCharType="separate"/>
          </w:r>
          <w:r>
            <w:rPr>
              <w:sz w:val="28"/>
              <w:szCs w:val="28"/>
            </w:rPr>
            <w:t>12</w:t>
          </w:r>
          <w:r>
            <w:rPr>
              <w:sz w:val="28"/>
              <w:szCs w:val="28"/>
            </w:rPr>
            <w:fldChar w:fldCharType="end"/>
          </w:r>
          <w:r>
            <w:rPr>
              <w:sz w:val="28"/>
              <w:szCs w:val="28"/>
            </w:rPr>
            <w:fldChar w:fldCharType="end"/>
          </w:r>
        </w:p>
        <w:p>
          <w:pPr>
            <w:pStyle w:val="10"/>
            <w:tabs>
              <w:tab w:val="right" w:leader="dot" w:pos="8296"/>
            </w:tabs>
            <w:spacing w:line="500" w:lineRule="exact"/>
            <w:rPr>
              <w:szCs w:val="28"/>
            </w:rPr>
          </w:pPr>
          <w:r>
            <w:fldChar w:fldCharType="begin"/>
          </w:r>
          <w:r>
            <w:instrText xml:space="preserve"> HYPERLINK \l "_Toc64641631" </w:instrText>
          </w:r>
          <w:r>
            <w:fldChar w:fldCharType="separate"/>
          </w:r>
          <w:r>
            <w:rPr>
              <w:rStyle w:val="16"/>
              <w:rFonts w:hint="eastAsia"/>
              <w:szCs w:val="28"/>
            </w:rPr>
            <w:t>十、结论</w:t>
          </w:r>
          <w:r>
            <w:rPr>
              <w:szCs w:val="28"/>
            </w:rPr>
            <w:tab/>
          </w:r>
          <w:r>
            <w:rPr>
              <w:szCs w:val="28"/>
            </w:rPr>
            <w:fldChar w:fldCharType="begin"/>
          </w:r>
          <w:r>
            <w:rPr>
              <w:szCs w:val="28"/>
            </w:rPr>
            <w:instrText xml:space="preserve"> PAGEREF _Toc64641631 \h </w:instrText>
          </w:r>
          <w:r>
            <w:rPr>
              <w:szCs w:val="28"/>
            </w:rPr>
            <w:fldChar w:fldCharType="separate"/>
          </w:r>
          <w:r>
            <w:rPr>
              <w:szCs w:val="28"/>
            </w:rPr>
            <w:t>13</w:t>
          </w:r>
          <w:r>
            <w:rPr>
              <w:szCs w:val="28"/>
            </w:rPr>
            <w:fldChar w:fldCharType="end"/>
          </w:r>
          <w:r>
            <w:rPr>
              <w:szCs w:val="28"/>
            </w:rPr>
            <w:fldChar w:fldCharType="end"/>
          </w:r>
        </w:p>
        <w:p>
          <w:pPr>
            <w:pStyle w:val="6"/>
            <w:tabs>
              <w:tab w:val="right" w:leader="dot" w:pos="8296"/>
            </w:tabs>
            <w:spacing w:line="500" w:lineRule="exact"/>
            <w:rPr>
              <w:sz w:val="28"/>
              <w:szCs w:val="28"/>
            </w:rPr>
          </w:pPr>
          <w:r>
            <w:fldChar w:fldCharType="begin"/>
          </w:r>
          <w:r>
            <w:instrText xml:space="preserve"> HYPERLINK \l "_Toc64641632" </w:instrText>
          </w:r>
          <w:r>
            <w:fldChar w:fldCharType="separate"/>
          </w:r>
          <w:r>
            <w:rPr>
              <w:rStyle w:val="16"/>
              <w:rFonts w:hint="eastAsia" w:ascii="楷体_GB2312" w:eastAsia="楷体_GB2312"/>
              <w:kern w:val="0"/>
              <w:sz w:val="28"/>
              <w:szCs w:val="28"/>
            </w:rPr>
            <w:t>附表</w:t>
          </w:r>
          <w:r>
            <w:rPr>
              <w:rStyle w:val="16"/>
              <w:rFonts w:ascii="楷体_GB2312" w:eastAsia="楷体_GB2312"/>
              <w:kern w:val="0"/>
              <w:sz w:val="28"/>
              <w:szCs w:val="28"/>
            </w:rPr>
            <w:t xml:space="preserve">1 </w:t>
          </w:r>
          <w:r>
            <w:rPr>
              <w:rStyle w:val="16"/>
              <w:rFonts w:hint="eastAsia" w:ascii="楷体_GB2312" w:eastAsia="楷体_GB2312"/>
              <w:kern w:val="0"/>
              <w:sz w:val="28"/>
              <w:szCs w:val="28"/>
            </w:rPr>
            <w:t>：土地利用现状及权属统计表</w:t>
          </w:r>
          <w:r>
            <w:rPr>
              <w:sz w:val="28"/>
              <w:szCs w:val="28"/>
            </w:rPr>
            <w:tab/>
          </w:r>
          <w:r>
            <w:rPr>
              <w:sz w:val="28"/>
              <w:szCs w:val="28"/>
            </w:rPr>
            <w:fldChar w:fldCharType="begin"/>
          </w:r>
          <w:r>
            <w:rPr>
              <w:sz w:val="28"/>
              <w:szCs w:val="28"/>
            </w:rPr>
            <w:instrText xml:space="preserve"> PAGEREF _Toc64641632 \h </w:instrText>
          </w:r>
          <w:r>
            <w:rPr>
              <w:sz w:val="28"/>
              <w:szCs w:val="28"/>
            </w:rPr>
            <w:fldChar w:fldCharType="separate"/>
          </w:r>
          <w:r>
            <w:rPr>
              <w:sz w:val="28"/>
              <w:szCs w:val="28"/>
            </w:rPr>
            <w:t>14</w:t>
          </w:r>
          <w:r>
            <w:rPr>
              <w:sz w:val="28"/>
              <w:szCs w:val="28"/>
            </w:rPr>
            <w:fldChar w:fldCharType="end"/>
          </w:r>
          <w:r>
            <w:rPr>
              <w:sz w:val="28"/>
              <w:szCs w:val="28"/>
            </w:rPr>
            <w:fldChar w:fldCharType="end"/>
          </w:r>
        </w:p>
        <w:p>
          <w:pPr>
            <w:pStyle w:val="6"/>
            <w:tabs>
              <w:tab w:val="right" w:leader="dot" w:pos="8296"/>
            </w:tabs>
            <w:spacing w:line="500" w:lineRule="exact"/>
            <w:rPr>
              <w:sz w:val="28"/>
              <w:szCs w:val="28"/>
            </w:rPr>
          </w:pPr>
          <w:r>
            <w:fldChar w:fldCharType="begin"/>
          </w:r>
          <w:r>
            <w:instrText xml:space="preserve"> HYPERLINK \l "_Toc64641633" </w:instrText>
          </w:r>
          <w:r>
            <w:fldChar w:fldCharType="separate"/>
          </w:r>
          <w:r>
            <w:rPr>
              <w:rStyle w:val="16"/>
              <w:rFonts w:hint="eastAsia" w:ascii="楷体_GB2312" w:eastAsia="楷体_GB2312"/>
              <w:kern w:val="0"/>
              <w:sz w:val="28"/>
              <w:szCs w:val="28"/>
            </w:rPr>
            <w:t>附表2</w:t>
          </w:r>
          <w:r>
            <w:rPr>
              <w:rStyle w:val="16"/>
              <w:rFonts w:ascii="楷体_GB2312" w:eastAsia="楷体_GB2312"/>
              <w:kern w:val="0"/>
              <w:sz w:val="28"/>
              <w:szCs w:val="28"/>
            </w:rPr>
            <w:t xml:space="preserve"> </w:t>
          </w:r>
          <w:r>
            <w:rPr>
              <w:rStyle w:val="16"/>
              <w:rFonts w:hint="eastAsia" w:ascii="楷体_GB2312" w:eastAsia="楷体_GB2312"/>
              <w:kern w:val="0"/>
              <w:sz w:val="28"/>
              <w:szCs w:val="28"/>
            </w:rPr>
            <w:t>：地块用途、面积及实现功能统计表</w:t>
          </w:r>
          <w:r>
            <w:rPr>
              <w:sz w:val="28"/>
              <w:szCs w:val="28"/>
            </w:rPr>
            <w:tab/>
          </w:r>
          <w:r>
            <w:rPr>
              <w:sz w:val="28"/>
              <w:szCs w:val="28"/>
            </w:rPr>
            <w:fldChar w:fldCharType="begin"/>
          </w:r>
          <w:r>
            <w:rPr>
              <w:sz w:val="28"/>
              <w:szCs w:val="28"/>
            </w:rPr>
            <w:instrText xml:space="preserve"> PAGEREF _Toc64641633 \h </w:instrText>
          </w:r>
          <w:r>
            <w:rPr>
              <w:sz w:val="28"/>
              <w:szCs w:val="28"/>
            </w:rPr>
            <w:fldChar w:fldCharType="separate"/>
          </w:r>
          <w:r>
            <w:rPr>
              <w:sz w:val="28"/>
              <w:szCs w:val="28"/>
            </w:rPr>
            <w:t>15</w:t>
          </w:r>
          <w:r>
            <w:rPr>
              <w:sz w:val="28"/>
              <w:szCs w:val="28"/>
            </w:rPr>
            <w:fldChar w:fldCharType="end"/>
          </w:r>
          <w:r>
            <w:rPr>
              <w:sz w:val="28"/>
              <w:szCs w:val="28"/>
            </w:rPr>
            <w:fldChar w:fldCharType="end"/>
          </w:r>
        </w:p>
        <w:p>
          <w:pPr>
            <w:pStyle w:val="6"/>
            <w:tabs>
              <w:tab w:val="right" w:leader="dot" w:pos="8296"/>
            </w:tabs>
            <w:spacing w:line="500" w:lineRule="exact"/>
            <w:rPr>
              <w:sz w:val="28"/>
              <w:szCs w:val="28"/>
            </w:rPr>
          </w:pPr>
          <w:r>
            <w:fldChar w:fldCharType="begin"/>
          </w:r>
          <w:r>
            <w:instrText xml:space="preserve"> HYPERLINK \l "_Toc64641634" </w:instrText>
          </w:r>
          <w:r>
            <w:fldChar w:fldCharType="separate"/>
          </w:r>
          <w:r>
            <w:rPr>
              <w:rStyle w:val="16"/>
              <w:rFonts w:hint="eastAsia" w:ascii="楷体_GB2312" w:eastAsia="楷体_GB2312"/>
              <w:kern w:val="0"/>
              <w:sz w:val="28"/>
              <w:szCs w:val="28"/>
            </w:rPr>
            <w:t>附表</w:t>
          </w:r>
          <w:r>
            <w:rPr>
              <w:rStyle w:val="16"/>
              <w:rFonts w:ascii="楷体_GB2312" w:eastAsia="楷体_GB2312"/>
              <w:kern w:val="0"/>
              <w:sz w:val="28"/>
              <w:szCs w:val="28"/>
            </w:rPr>
            <w:t xml:space="preserve">3 </w:t>
          </w:r>
          <w:r>
            <w:rPr>
              <w:rStyle w:val="16"/>
              <w:rFonts w:hint="eastAsia" w:ascii="楷体_GB2312" w:eastAsia="楷体_GB2312"/>
              <w:kern w:val="0"/>
              <w:sz w:val="28"/>
              <w:szCs w:val="28"/>
            </w:rPr>
            <w:t>：拟建项目统计表</w:t>
          </w:r>
          <w:r>
            <w:rPr>
              <w:sz w:val="28"/>
              <w:szCs w:val="28"/>
            </w:rPr>
            <w:tab/>
          </w:r>
          <w:r>
            <w:rPr>
              <w:sz w:val="28"/>
              <w:szCs w:val="28"/>
            </w:rPr>
            <w:fldChar w:fldCharType="begin"/>
          </w:r>
          <w:r>
            <w:rPr>
              <w:sz w:val="28"/>
              <w:szCs w:val="28"/>
            </w:rPr>
            <w:instrText xml:space="preserve"> PAGEREF _Toc64641634 \h </w:instrText>
          </w:r>
          <w:r>
            <w:rPr>
              <w:sz w:val="28"/>
              <w:szCs w:val="28"/>
            </w:rPr>
            <w:fldChar w:fldCharType="separate"/>
          </w:r>
          <w:r>
            <w:rPr>
              <w:sz w:val="28"/>
              <w:szCs w:val="28"/>
            </w:rPr>
            <w:t>16</w:t>
          </w:r>
          <w:r>
            <w:rPr>
              <w:sz w:val="28"/>
              <w:szCs w:val="28"/>
            </w:rPr>
            <w:fldChar w:fldCharType="end"/>
          </w:r>
          <w:r>
            <w:rPr>
              <w:sz w:val="28"/>
              <w:szCs w:val="28"/>
            </w:rPr>
            <w:fldChar w:fldCharType="end"/>
          </w:r>
        </w:p>
        <w:p>
          <w:pPr>
            <w:pStyle w:val="6"/>
            <w:tabs>
              <w:tab w:val="right" w:leader="dot" w:pos="8296"/>
            </w:tabs>
            <w:spacing w:line="500" w:lineRule="exact"/>
            <w:rPr>
              <w:sz w:val="28"/>
              <w:szCs w:val="28"/>
            </w:rPr>
          </w:pPr>
          <w:r>
            <w:fldChar w:fldCharType="begin"/>
          </w:r>
          <w:r>
            <w:instrText xml:space="preserve"> HYPERLINK \l "_Toc64641635" </w:instrText>
          </w:r>
          <w:r>
            <w:fldChar w:fldCharType="separate"/>
          </w:r>
          <w:r>
            <w:rPr>
              <w:rStyle w:val="16"/>
              <w:rFonts w:hint="eastAsia" w:ascii="楷体_GB2312" w:eastAsia="楷体_GB2312"/>
              <w:kern w:val="0"/>
              <w:sz w:val="28"/>
              <w:szCs w:val="28"/>
            </w:rPr>
            <w:t>附表</w:t>
          </w:r>
          <w:r>
            <w:rPr>
              <w:rStyle w:val="16"/>
              <w:rFonts w:ascii="楷体_GB2312" w:eastAsia="楷体_GB2312"/>
              <w:kern w:val="0"/>
              <w:sz w:val="28"/>
              <w:szCs w:val="28"/>
            </w:rPr>
            <w:t xml:space="preserve">4 </w:t>
          </w:r>
          <w:r>
            <w:rPr>
              <w:rStyle w:val="16"/>
              <w:rFonts w:hint="eastAsia" w:ascii="楷体_GB2312" w:eastAsia="楷体_GB2312"/>
              <w:kern w:val="0"/>
              <w:sz w:val="28"/>
              <w:szCs w:val="28"/>
            </w:rPr>
            <w:t>：开发时序和年度实施计划统计表</w:t>
          </w:r>
          <w:r>
            <w:rPr>
              <w:sz w:val="28"/>
              <w:szCs w:val="28"/>
            </w:rPr>
            <w:tab/>
          </w:r>
          <w:r>
            <w:rPr>
              <w:sz w:val="28"/>
              <w:szCs w:val="28"/>
            </w:rPr>
            <w:fldChar w:fldCharType="begin"/>
          </w:r>
          <w:r>
            <w:rPr>
              <w:sz w:val="28"/>
              <w:szCs w:val="28"/>
            </w:rPr>
            <w:instrText xml:space="preserve"> PAGEREF _Toc64641635 \h </w:instrText>
          </w:r>
          <w:r>
            <w:rPr>
              <w:sz w:val="28"/>
              <w:szCs w:val="28"/>
            </w:rPr>
            <w:fldChar w:fldCharType="separate"/>
          </w:r>
          <w:r>
            <w:rPr>
              <w:sz w:val="28"/>
              <w:szCs w:val="28"/>
            </w:rPr>
            <w:t>17</w:t>
          </w:r>
          <w:r>
            <w:rPr>
              <w:sz w:val="28"/>
              <w:szCs w:val="28"/>
            </w:rPr>
            <w:fldChar w:fldCharType="end"/>
          </w:r>
          <w:r>
            <w:rPr>
              <w:sz w:val="28"/>
              <w:szCs w:val="28"/>
            </w:rPr>
            <w:fldChar w:fldCharType="end"/>
          </w:r>
        </w:p>
        <w:p>
          <w:pPr>
            <w:pStyle w:val="6"/>
            <w:tabs>
              <w:tab w:val="right" w:leader="dot" w:pos="8296"/>
            </w:tabs>
            <w:spacing w:line="500" w:lineRule="exact"/>
            <w:rPr>
              <w:sz w:val="28"/>
              <w:szCs w:val="28"/>
            </w:rPr>
          </w:pPr>
          <w:r>
            <w:fldChar w:fldCharType="begin"/>
          </w:r>
          <w:r>
            <w:instrText xml:space="preserve"> HYPERLINK \l "_Toc64641636" </w:instrText>
          </w:r>
          <w:r>
            <w:fldChar w:fldCharType="separate"/>
          </w:r>
          <w:r>
            <w:rPr>
              <w:rStyle w:val="16"/>
              <w:rFonts w:hint="eastAsia" w:ascii="楷体_GB2312" w:eastAsia="楷体_GB2312"/>
              <w:kern w:val="0"/>
              <w:sz w:val="28"/>
              <w:szCs w:val="28"/>
            </w:rPr>
            <w:t>附图</w:t>
          </w:r>
          <w:r>
            <w:rPr>
              <w:rStyle w:val="16"/>
              <w:rFonts w:ascii="楷体_GB2312" w:eastAsia="楷体_GB2312"/>
              <w:kern w:val="0"/>
              <w:sz w:val="28"/>
              <w:szCs w:val="28"/>
            </w:rPr>
            <w:t>1</w:t>
          </w:r>
          <w:r>
            <w:rPr>
              <w:sz w:val="28"/>
              <w:szCs w:val="28"/>
            </w:rPr>
            <w:tab/>
          </w:r>
          <w:r>
            <w:rPr>
              <w:sz w:val="28"/>
              <w:szCs w:val="28"/>
            </w:rPr>
            <w:fldChar w:fldCharType="begin"/>
          </w:r>
          <w:r>
            <w:rPr>
              <w:sz w:val="28"/>
              <w:szCs w:val="28"/>
            </w:rPr>
            <w:instrText xml:space="preserve"> PAGEREF _Toc64641636 \h </w:instrText>
          </w:r>
          <w:r>
            <w:rPr>
              <w:sz w:val="28"/>
              <w:szCs w:val="28"/>
            </w:rPr>
            <w:fldChar w:fldCharType="separate"/>
          </w:r>
          <w:r>
            <w:rPr>
              <w:sz w:val="28"/>
              <w:szCs w:val="28"/>
            </w:rPr>
            <w:t>18</w:t>
          </w:r>
          <w:r>
            <w:rPr>
              <w:sz w:val="28"/>
              <w:szCs w:val="28"/>
            </w:rPr>
            <w:fldChar w:fldCharType="end"/>
          </w:r>
          <w:r>
            <w:rPr>
              <w:sz w:val="28"/>
              <w:szCs w:val="28"/>
            </w:rPr>
            <w:fldChar w:fldCharType="end"/>
          </w:r>
        </w:p>
        <w:p>
          <w:pPr>
            <w:pStyle w:val="6"/>
            <w:tabs>
              <w:tab w:val="right" w:leader="dot" w:pos="8296"/>
            </w:tabs>
            <w:spacing w:line="500" w:lineRule="exact"/>
            <w:rPr>
              <w:sz w:val="28"/>
              <w:szCs w:val="28"/>
            </w:rPr>
          </w:pPr>
          <w:r>
            <w:fldChar w:fldCharType="begin"/>
          </w:r>
          <w:r>
            <w:instrText xml:space="preserve"> HYPERLINK \l "_Toc64641637" </w:instrText>
          </w:r>
          <w:r>
            <w:fldChar w:fldCharType="separate"/>
          </w:r>
          <w:r>
            <w:rPr>
              <w:rStyle w:val="16"/>
              <w:rFonts w:hint="eastAsia" w:ascii="楷体_GB2312" w:eastAsia="楷体_GB2312"/>
              <w:kern w:val="0"/>
              <w:sz w:val="28"/>
              <w:szCs w:val="28"/>
            </w:rPr>
            <w:t>附图</w:t>
          </w:r>
          <w:r>
            <w:rPr>
              <w:rStyle w:val="16"/>
              <w:rFonts w:ascii="楷体_GB2312" w:eastAsia="楷体_GB2312"/>
              <w:kern w:val="0"/>
              <w:sz w:val="28"/>
              <w:szCs w:val="28"/>
            </w:rPr>
            <w:t>2</w:t>
          </w:r>
          <w:r>
            <w:rPr>
              <w:sz w:val="28"/>
              <w:szCs w:val="28"/>
            </w:rPr>
            <w:tab/>
          </w:r>
          <w:r>
            <w:rPr>
              <w:sz w:val="28"/>
              <w:szCs w:val="28"/>
            </w:rPr>
            <w:fldChar w:fldCharType="begin"/>
          </w:r>
          <w:r>
            <w:rPr>
              <w:sz w:val="28"/>
              <w:szCs w:val="28"/>
            </w:rPr>
            <w:instrText xml:space="preserve"> PAGEREF _Toc64641637 \h </w:instrText>
          </w:r>
          <w:r>
            <w:rPr>
              <w:sz w:val="28"/>
              <w:szCs w:val="28"/>
            </w:rPr>
            <w:fldChar w:fldCharType="separate"/>
          </w:r>
          <w:r>
            <w:rPr>
              <w:sz w:val="28"/>
              <w:szCs w:val="28"/>
            </w:rPr>
            <w:t>19</w:t>
          </w:r>
          <w:r>
            <w:rPr>
              <w:sz w:val="28"/>
              <w:szCs w:val="28"/>
            </w:rPr>
            <w:fldChar w:fldCharType="end"/>
          </w:r>
          <w:r>
            <w:rPr>
              <w:sz w:val="28"/>
              <w:szCs w:val="28"/>
            </w:rPr>
            <w:fldChar w:fldCharType="end"/>
          </w:r>
        </w:p>
        <w:p>
          <w:pPr>
            <w:pStyle w:val="6"/>
            <w:tabs>
              <w:tab w:val="right" w:leader="dot" w:pos="8296"/>
            </w:tabs>
            <w:spacing w:line="500" w:lineRule="exact"/>
            <w:rPr>
              <w:sz w:val="28"/>
              <w:szCs w:val="28"/>
            </w:rPr>
          </w:pPr>
          <w:r>
            <w:fldChar w:fldCharType="begin"/>
          </w:r>
          <w:r>
            <w:instrText xml:space="preserve"> HYPERLINK \l "_Toc64641638" </w:instrText>
          </w:r>
          <w:r>
            <w:fldChar w:fldCharType="separate"/>
          </w:r>
          <w:r>
            <w:rPr>
              <w:rStyle w:val="16"/>
              <w:rFonts w:hint="eastAsia" w:ascii="楷体_GB2312" w:eastAsia="楷体_GB2312"/>
              <w:kern w:val="0"/>
              <w:sz w:val="28"/>
              <w:szCs w:val="28"/>
            </w:rPr>
            <w:t>附图</w:t>
          </w:r>
          <w:r>
            <w:rPr>
              <w:rStyle w:val="16"/>
              <w:rFonts w:ascii="楷体_GB2312" w:eastAsia="楷体_GB2312"/>
              <w:kern w:val="0"/>
              <w:sz w:val="28"/>
              <w:szCs w:val="28"/>
            </w:rPr>
            <w:t>3</w:t>
          </w:r>
          <w:r>
            <w:rPr>
              <w:sz w:val="28"/>
              <w:szCs w:val="28"/>
            </w:rPr>
            <w:tab/>
          </w:r>
          <w:r>
            <w:rPr>
              <w:sz w:val="28"/>
              <w:szCs w:val="28"/>
            </w:rPr>
            <w:fldChar w:fldCharType="begin"/>
          </w:r>
          <w:r>
            <w:rPr>
              <w:sz w:val="28"/>
              <w:szCs w:val="28"/>
            </w:rPr>
            <w:instrText xml:space="preserve"> PAGEREF _Toc64641638 \h </w:instrText>
          </w:r>
          <w:r>
            <w:rPr>
              <w:sz w:val="28"/>
              <w:szCs w:val="28"/>
            </w:rPr>
            <w:fldChar w:fldCharType="separate"/>
          </w:r>
          <w:r>
            <w:rPr>
              <w:sz w:val="28"/>
              <w:szCs w:val="28"/>
            </w:rPr>
            <w:t>20</w:t>
          </w:r>
          <w:r>
            <w:rPr>
              <w:sz w:val="28"/>
              <w:szCs w:val="28"/>
            </w:rPr>
            <w:fldChar w:fldCharType="end"/>
          </w:r>
          <w:r>
            <w:rPr>
              <w:sz w:val="28"/>
              <w:szCs w:val="28"/>
            </w:rPr>
            <w:fldChar w:fldCharType="end"/>
          </w:r>
        </w:p>
        <w:p>
          <w:pPr>
            <w:pStyle w:val="6"/>
            <w:tabs>
              <w:tab w:val="right" w:leader="dot" w:pos="8296"/>
            </w:tabs>
            <w:spacing w:line="500" w:lineRule="exact"/>
            <w:rPr>
              <w:sz w:val="28"/>
              <w:szCs w:val="28"/>
            </w:rPr>
          </w:pPr>
          <w:r>
            <w:fldChar w:fldCharType="begin"/>
          </w:r>
          <w:r>
            <w:instrText xml:space="preserve"> HYPERLINK \l "_Toc64641639" </w:instrText>
          </w:r>
          <w:r>
            <w:fldChar w:fldCharType="separate"/>
          </w:r>
          <w:r>
            <w:rPr>
              <w:rStyle w:val="16"/>
              <w:rFonts w:hint="eastAsia" w:ascii="楷体_GB2312" w:eastAsia="楷体_GB2312"/>
              <w:kern w:val="0"/>
              <w:sz w:val="28"/>
              <w:szCs w:val="28"/>
            </w:rPr>
            <w:t>附图</w:t>
          </w:r>
          <w:r>
            <w:rPr>
              <w:rStyle w:val="16"/>
              <w:rFonts w:ascii="楷体_GB2312" w:eastAsia="楷体_GB2312"/>
              <w:kern w:val="0"/>
              <w:sz w:val="28"/>
              <w:szCs w:val="28"/>
            </w:rPr>
            <w:t>4</w:t>
          </w:r>
          <w:r>
            <w:rPr>
              <w:sz w:val="28"/>
              <w:szCs w:val="28"/>
            </w:rPr>
            <w:tab/>
          </w:r>
          <w:r>
            <w:rPr>
              <w:sz w:val="28"/>
              <w:szCs w:val="28"/>
            </w:rPr>
            <w:fldChar w:fldCharType="begin"/>
          </w:r>
          <w:r>
            <w:rPr>
              <w:sz w:val="28"/>
              <w:szCs w:val="28"/>
            </w:rPr>
            <w:instrText xml:space="preserve"> PAGEREF _Toc64641639 \h </w:instrText>
          </w:r>
          <w:r>
            <w:rPr>
              <w:sz w:val="28"/>
              <w:szCs w:val="28"/>
            </w:rPr>
            <w:fldChar w:fldCharType="separate"/>
          </w:r>
          <w:r>
            <w:rPr>
              <w:sz w:val="28"/>
              <w:szCs w:val="28"/>
            </w:rPr>
            <w:t>21</w:t>
          </w:r>
          <w:r>
            <w:rPr>
              <w:sz w:val="28"/>
              <w:szCs w:val="28"/>
            </w:rPr>
            <w:fldChar w:fldCharType="end"/>
          </w:r>
          <w:r>
            <w:rPr>
              <w:sz w:val="28"/>
              <w:szCs w:val="28"/>
            </w:rPr>
            <w:fldChar w:fldCharType="end"/>
          </w:r>
        </w:p>
        <w:p>
          <w:pPr>
            <w:pStyle w:val="6"/>
            <w:tabs>
              <w:tab w:val="right" w:leader="dot" w:pos="8296"/>
            </w:tabs>
            <w:spacing w:line="500" w:lineRule="exact"/>
            <w:rPr>
              <w:sz w:val="28"/>
              <w:szCs w:val="28"/>
            </w:rPr>
          </w:pPr>
          <w:r>
            <w:fldChar w:fldCharType="begin"/>
          </w:r>
          <w:r>
            <w:instrText xml:space="preserve"> HYPERLINK \l "_Toc64641640" </w:instrText>
          </w:r>
          <w:r>
            <w:fldChar w:fldCharType="separate"/>
          </w:r>
          <w:r>
            <w:rPr>
              <w:rStyle w:val="16"/>
              <w:rFonts w:hint="eastAsia" w:ascii="楷体_GB2312" w:eastAsia="楷体_GB2312"/>
              <w:kern w:val="0"/>
              <w:sz w:val="28"/>
              <w:szCs w:val="28"/>
            </w:rPr>
            <w:t>附图</w:t>
          </w:r>
          <w:r>
            <w:rPr>
              <w:rStyle w:val="16"/>
              <w:rFonts w:ascii="楷体_GB2312" w:eastAsia="楷体_GB2312"/>
              <w:kern w:val="0"/>
              <w:sz w:val="28"/>
              <w:szCs w:val="28"/>
            </w:rPr>
            <w:t>5</w:t>
          </w:r>
          <w:r>
            <w:rPr>
              <w:sz w:val="28"/>
              <w:szCs w:val="28"/>
            </w:rPr>
            <w:tab/>
          </w:r>
          <w:r>
            <w:rPr>
              <w:sz w:val="28"/>
              <w:szCs w:val="28"/>
            </w:rPr>
            <w:fldChar w:fldCharType="begin"/>
          </w:r>
          <w:r>
            <w:rPr>
              <w:sz w:val="28"/>
              <w:szCs w:val="28"/>
            </w:rPr>
            <w:instrText xml:space="preserve"> PAGEREF _Toc64641640 \h </w:instrText>
          </w:r>
          <w:r>
            <w:rPr>
              <w:sz w:val="28"/>
              <w:szCs w:val="28"/>
            </w:rPr>
            <w:fldChar w:fldCharType="separate"/>
          </w:r>
          <w:r>
            <w:rPr>
              <w:sz w:val="28"/>
              <w:szCs w:val="28"/>
            </w:rPr>
            <w:t>22</w:t>
          </w:r>
          <w:r>
            <w:rPr>
              <w:sz w:val="28"/>
              <w:szCs w:val="28"/>
            </w:rPr>
            <w:fldChar w:fldCharType="end"/>
          </w:r>
          <w:r>
            <w:rPr>
              <w:sz w:val="28"/>
              <w:szCs w:val="28"/>
            </w:rPr>
            <w:fldChar w:fldCharType="end"/>
          </w:r>
        </w:p>
        <w:p>
          <w:pPr>
            <w:spacing w:line="400" w:lineRule="exact"/>
          </w:pPr>
          <w:r>
            <w:rPr>
              <w:sz w:val="28"/>
              <w:szCs w:val="28"/>
            </w:rPr>
            <w:fldChar w:fldCharType="end"/>
          </w:r>
        </w:p>
      </w:sdtContent>
    </w:sdt>
    <w:p>
      <w:pPr>
        <w:rPr>
          <w:rFonts w:ascii="宋体" w:hAnsi="宋体" w:eastAsia="宋体"/>
          <w:b/>
          <w:bCs/>
          <w:sz w:val="44"/>
          <w:szCs w:val="44"/>
        </w:rPr>
        <w:sectPr>
          <w:pgSz w:w="11906" w:h="16838"/>
          <w:pgMar w:top="1440" w:right="1800" w:bottom="1440" w:left="1800" w:header="851" w:footer="992" w:gutter="0"/>
          <w:cols w:space="425" w:num="1"/>
          <w:titlePg/>
          <w:docGrid w:type="lines" w:linePitch="312" w:charSpace="0"/>
        </w:sectPr>
      </w:pPr>
    </w:p>
    <w:p>
      <w:pPr>
        <w:adjustRightInd w:val="0"/>
        <w:snapToGrid w:val="0"/>
        <w:spacing w:line="600" w:lineRule="exact"/>
        <w:ind w:firstLine="640" w:firstLineChars="200"/>
        <w:outlineLvl w:val="2"/>
        <w:rPr>
          <w:rFonts w:ascii="仿宋_GB2312" w:hAnsi="宋体" w:eastAsia="仿宋_GB2312"/>
          <w:color w:val="000000" w:themeColor="text1"/>
          <w:sz w:val="32"/>
          <w:szCs w:val="32"/>
        </w:rPr>
      </w:pPr>
      <w:bookmarkStart w:id="16" w:name="_Hlk63373762"/>
      <w:bookmarkStart w:id="17" w:name="_Toc64626902"/>
      <w:bookmarkStart w:id="18" w:name="_Toc64626213"/>
      <w:bookmarkStart w:id="19" w:name="_Toc64626122"/>
      <w:bookmarkStart w:id="20" w:name="_Toc64626457"/>
      <w:bookmarkStart w:id="21" w:name="_Toc64640042"/>
      <w:bookmarkStart w:id="22" w:name="_Toc2144"/>
      <w:bookmarkStart w:id="23" w:name="_Toc64641602"/>
      <w:r>
        <w:rPr>
          <w:rFonts w:hint="eastAsia" w:ascii="仿宋_GB2312" w:hAnsi="Times New Roman" w:eastAsia="仿宋_GB2312" w:cs="仿宋_GB2312"/>
          <w:kern w:val="0"/>
          <w:sz w:val="32"/>
          <w:szCs w:val="32"/>
        </w:rPr>
        <w:t>为保障洛江区经济和社会发展用地需要，维护被征收农村集体经济组织和农民的合法权益</w:t>
      </w:r>
      <w:bookmarkEnd w:id="16"/>
      <w:r>
        <w:rPr>
          <w:rFonts w:hint="eastAsia" w:ascii="仿宋_GB2312" w:hAnsi="Times New Roman" w:eastAsia="仿宋_GB2312" w:cs="仿宋_GB2312"/>
          <w:kern w:val="0"/>
          <w:sz w:val="32"/>
          <w:szCs w:val="32"/>
        </w:rPr>
        <w:t>，根据《中华人民共和国土地管理法》、《自然资源部土地征收成片开发标准（试行）》和《福建省土地征收成片开发方案报批实施细则（试行）》等有关规定，</w:t>
      </w:r>
      <w:bookmarkStart w:id="24" w:name="_Hlk63373834"/>
      <w:r>
        <w:rPr>
          <w:rFonts w:hint="eastAsia" w:ascii="仿宋_GB2312" w:eastAsia="仿宋_GB2312"/>
          <w:color w:val="000000" w:themeColor="text1"/>
          <w:sz w:val="32"/>
          <w:szCs w:val="32"/>
        </w:rPr>
        <w:t>依据洛江区国民经济和社会发展规划、土地利用总体规划，</w:t>
      </w:r>
      <w:r>
        <w:rPr>
          <w:rFonts w:hint="eastAsia" w:ascii="仿宋_GB2312" w:hAnsi="宋体" w:eastAsia="仿宋_GB2312" w:cs="仿宋_GB2312"/>
          <w:color w:val="000000" w:themeColor="text1"/>
          <w:kern w:val="0"/>
          <w:sz w:val="32"/>
          <w:szCs w:val="32"/>
        </w:rPr>
        <w:t>结合洛江区实际情况，制定</w:t>
      </w:r>
      <w:r>
        <w:rPr>
          <w:rFonts w:hint="eastAsia" w:ascii="仿宋_GB2312" w:hAnsi="宋体" w:eastAsia="仿宋_GB2312"/>
          <w:color w:val="000000" w:themeColor="text1"/>
          <w:sz w:val="32"/>
          <w:szCs w:val="32"/>
        </w:rPr>
        <w:t>洛江区2021年度第一批次土地征收成片开发方案</w:t>
      </w:r>
      <w:bookmarkEnd w:id="24"/>
      <w:r>
        <w:rPr>
          <w:rFonts w:hint="eastAsia" w:ascii="仿宋_GB2312" w:hAnsi="宋体" w:eastAsia="仿宋_GB2312"/>
          <w:color w:val="000000" w:themeColor="text1"/>
          <w:sz w:val="32"/>
          <w:szCs w:val="32"/>
        </w:rPr>
        <w:t>如下：</w:t>
      </w:r>
      <w:bookmarkEnd w:id="17"/>
      <w:bookmarkEnd w:id="18"/>
      <w:bookmarkEnd w:id="19"/>
      <w:bookmarkEnd w:id="20"/>
      <w:bookmarkEnd w:id="21"/>
      <w:bookmarkEnd w:id="22"/>
      <w:bookmarkEnd w:id="23"/>
    </w:p>
    <w:p>
      <w:pPr>
        <w:pStyle w:val="2"/>
        <w:spacing w:before="0" w:after="0" w:line="600" w:lineRule="exact"/>
        <w:ind w:firstLine="643" w:firstLineChars="200"/>
        <w:rPr>
          <w:sz w:val="32"/>
          <w:szCs w:val="32"/>
        </w:rPr>
      </w:pPr>
      <w:bookmarkStart w:id="25" w:name="_Toc64641603"/>
      <w:bookmarkStart w:id="26" w:name="_Toc64626903"/>
      <w:bookmarkStart w:id="27" w:name="_Toc64626458"/>
      <w:bookmarkStart w:id="28" w:name="_Toc1852"/>
      <w:r>
        <w:rPr>
          <w:rFonts w:hint="eastAsia"/>
          <w:sz w:val="32"/>
          <w:szCs w:val="32"/>
        </w:rPr>
        <w:t>一、概述</w:t>
      </w:r>
      <w:bookmarkEnd w:id="0"/>
      <w:bookmarkEnd w:id="1"/>
      <w:bookmarkEnd w:id="25"/>
      <w:bookmarkEnd w:id="26"/>
      <w:bookmarkEnd w:id="27"/>
      <w:bookmarkEnd w:id="28"/>
      <w:bookmarkStart w:id="29" w:name="_Hlk63374265"/>
      <w:bookmarkStart w:id="30" w:name="_Toc64626459"/>
      <w:bookmarkStart w:id="31" w:name="_Toc64626904"/>
      <w:bookmarkStart w:id="32" w:name="_Toc61179715"/>
    </w:p>
    <w:p>
      <w:pPr>
        <w:pStyle w:val="3"/>
        <w:spacing w:before="0" w:after="0" w:line="600" w:lineRule="exact"/>
        <w:ind w:firstLine="643" w:firstLineChars="200"/>
        <w:rPr>
          <w:rFonts w:ascii="楷体_GB2312" w:eastAsia="楷体_GB2312"/>
        </w:rPr>
      </w:pPr>
      <w:bookmarkStart w:id="33" w:name="_Toc2069"/>
      <w:bookmarkStart w:id="34" w:name="_Toc64641604"/>
      <w:r>
        <w:rPr>
          <w:rFonts w:hint="eastAsia" w:ascii="楷体_GB2312" w:eastAsia="楷体_GB2312"/>
        </w:rPr>
        <w:t>（一）方案编制的</w:t>
      </w:r>
      <w:bookmarkEnd w:id="29"/>
      <w:r>
        <w:rPr>
          <w:rFonts w:hint="eastAsia" w:ascii="楷体_GB2312" w:eastAsia="楷体_GB2312"/>
        </w:rPr>
        <w:t>背景</w:t>
      </w:r>
      <w:bookmarkEnd w:id="30"/>
      <w:bookmarkEnd w:id="31"/>
      <w:bookmarkEnd w:id="32"/>
      <w:bookmarkEnd w:id="33"/>
      <w:bookmarkEnd w:id="34"/>
    </w:p>
    <w:p>
      <w:pPr>
        <w:pStyle w:val="13"/>
        <w:shd w:val="clear" w:color="auto" w:fill="FFFFFF"/>
        <w:adjustRightInd w:val="0"/>
        <w:snapToGrid w:val="0"/>
        <w:spacing w:before="0" w:beforeAutospacing="0" w:after="0" w:afterAutospacing="0" w:line="600" w:lineRule="exact"/>
        <w:ind w:firstLine="640" w:firstLineChars="200"/>
        <w:rPr>
          <w:rFonts w:ascii="仿宋_GB2312" w:hAnsi="微软雅黑" w:eastAsia="仿宋_GB2312"/>
          <w:color w:val="121212"/>
          <w:sz w:val="32"/>
          <w:szCs w:val="32"/>
        </w:rPr>
      </w:pPr>
      <w:r>
        <w:rPr>
          <w:rFonts w:hint="eastAsia" w:ascii="仿宋_GB2312" w:hAnsi="微软雅黑" w:eastAsia="仿宋_GB2312"/>
          <w:color w:val="121212"/>
          <w:sz w:val="32"/>
          <w:szCs w:val="32"/>
        </w:rPr>
        <w:t>宪法第十条和《土地管理法》第二条均规定：国家为了公共利益的需要，可以依照法律规定对土地实行征收或者征用并给予补偿。原《土地管理法》第四十三条规定：“任何单位和个人进行建设，需要使用土地的，必须依法申请使用国有土地。”这一规定使土地征收成为各类建设使用土地的唯一途径。这种方式在促进工业化城镇化快速发展的同时，也暴露出征地规模过大、征地程序不规范、被征地农民合法权益保障不充分等问题。</w:t>
      </w:r>
    </w:p>
    <w:p>
      <w:pPr>
        <w:pStyle w:val="13"/>
        <w:shd w:val="clear" w:color="auto" w:fill="FFFFFF"/>
        <w:adjustRightInd w:val="0"/>
        <w:snapToGrid w:val="0"/>
        <w:spacing w:before="0" w:beforeAutospacing="0" w:after="0" w:afterAutospacing="0" w:line="600" w:lineRule="exact"/>
        <w:ind w:firstLine="640" w:firstLineChars="200"/>
        <w:rPr>
          <w:rFonts w:ascii="仿宋_GB2312" w:hAnsi="微软雅黑" w:eastAsia="仿宋_GB2312"/>
          <w:color w:val="121212"/>
          <w:sz w:val="32"/>
          <w:szCs w:val="32"/>
        </w:rPr>
      </w:pPr>
      <w:r>
        <w:rPr>
          <w:rFonts w:hint="eastAsia" w:ascii="仿宋_GB2312" w:hAnsi="微软雅黑" w:eastAsia="仿宋_GB2312"/>
          <w:color w:val="121212"/>
          <w:sz w:val="32"/>
          <w:szCs w:val="32"/>
        </w:rPr>
        <w:t>新修正的《土地管理法》按照党的十八届三中全会确定的缩小征地范围、规范征地程序、完善对被征地农民合理规范多元保障机制的改革要求，在充分总结33个试点成功经验的基础上，首次通过列举方式对土地征收的公共利益进行界定，明确：军事和外交，能源、交通、水利等基础设施，科技、教育等社会公共事业，扶贫搬迁和保障性安居工程，确属必需的，可以征收农民集体所有土地。同时，考虑到我国正处于工业化、城镇化快速推进的时期，为了满足城市发展用地需求，在第四十五条第一款第（五）项规定符合条件的“成片开发”建设可以征收土地。</w:t>
      </w:r>
    </w:p>
    <w:p>
      <w:pPr>
        <w:pStyle w:val="13"/>
        <w:shd w:val="clear" w:color="auto" w:fill="FFFFFF"/>
        <w:adjustRightInd w:val="0"/>
        <w:snapToGrid w:val="0"/>
        <w:spacing w:before="0" w:beforeAutospacing="0" w:after="0" w:afterAutospacing="0" w:line="60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为了保障洛江区经济和社会发展用地需要，维护被征收农村集体经济组织和农民的合法权益，</w:t>
      </w:r>
      <w:r>
        <w:rPr>
          <w:rFonts w:hint="eastAsia" w:ascii="仿宋_GB2312" w:eastAsia="仿宋_GB2312"/>
          <w:color w:val="000000" w:themeColor="text1"/>
          <w:sz w:val="32"/>
          <w:szCs w:val="32"/>
        </w:rPr>
        <w:t>依据洛江区国民经济和社会发展规划、土地利用总体规划，</w:t>
      </w:r>
      <w:r>
        <w:rPr>
          <w:rFonts w:hint="eastAsia" w:ascii="仿宋_GB2312" w:eastAsia="仿宋_GB2312" w:cs="仿宋_GB2312"/>
          <w:color w:val="000000" w:themeColor="text1"/>
          <w:sz w:val="32"/>
          <w:szCs w:val="32"/>
        </w:rPr>
        <w:t>结合洛江区实际情况，洛江区人民政府组织编制了</w:t>
      </w:r>
      <w:r>
        <w:rPr>
          <w:rFonts w:hint="eastAsia" w:ascii="仿宋_GB2312" w:eastAsia="仿宋_GB2312"/>
          <w:color w:val="000000" w:themeColor="text1"/>
          <w:sz w:val="32"/>
          <w:szCs w:val="32"/>
        </w:rPr>
        <w:t>洛江区2021年度第一批次土地征收成片开发方案，将依法依规</w:t>
      </w:r>
      <w:r>
        <w:rPr>
          <w:rFonts w:hint="eastAsia" w:ascii="仿宋_GB2312" w:hAnsi="Times New Roman" w:eastAsia="仿宋_GB2312" w:cs="仿宋_GB2312"/>
          <w:sz w:val="32"/>
          <w:szCs w:val="32"/>
        </w:rPr>
        <w:t>有序推进土地征收成片开发工作，确保经济持续健康发展。</w:t>
      </w:r>
      <w:bookmarkStart w:id="35" w:name="_Toc64626905"/>
      <w:bookmarkStart w:id="36" w:name="_Toc64626460"/>
      <w:bookmarkStart w:id="37" w:name="_Toc61179716"/>
    </w:p>
    <w:p>
      <w:pPr>
        <w:pStyle w:val="3"/>
        <w:spacing w:before="0" w:after="0" w:line="600" w:lineRule="exact"/>
        <w:ind w:firstLine="643" w:firstLineChars="200"/>
        <w:rPr>
          <w:rFonts w:ascii="楷体_GB2312" w:eastAsia="楷体_GB2312"/>
        </w:rPr>
      </w:pPr>
      <w:bookmarkStart w:id="38" w:name="_Toc64641605"/>
      <w:r>
        <w:rPr>
          <w:rFonts w:hint="eastAsia" w:ascii="楷体_GB2312" w:eastAsia="楷体_GB2312"/>
        </w:rPr>
        <w:t>（二）方案编制原则</w:t>
      </w:r>
      <w:bookmarkEnd w:id="35"/>
      <w:bookmarkEnd w:id="36"/>
      <w:bookmarkEnd w:id="37"/>
      <w:bookmarkEnd w:id="38"/>
    </w:p>
    <w:p>
      <w:pPr>
        <w:pStyle w:val="4"/>
        <w:spacing w:before="0" w:after="0" w:line="600" w:lineRule="exact"/>
        <w:ind w:firstLine="643" w:firstLineChars="200"/>
        <w:rPr>
          <w:rFonts w:ascii="楷体_GB2312" w:eastAsia="楷体_GB2312"/>
          <w:kern w:val="0"/>
        </w:rPr>
      </w:pPr>
      <w:bookmarkStart w:id="39" w:name="_Toc62061271"/>
      <w:bookmarkStart w:id="40" w:name="_Toc64626461"/>
      <w:bookmarkStart w:id="41" w:name="_Toc14383"/>
      <w:bookmarkStart w:id="42" w:name="_Toc64626906"/>
      <w:bookmarkStart w:id="43" w:name="_Toc64641606"/>
      <w:bookmarkStart w:id="44" w:name="_Toc61179717"/>
      <w:r>
        <w:rPr>
          <w:rFonts w:hint="eastAsia" w:ascii="楷体_GB2312" w:eastAsia="楷体_GB2312"/>
          <w:kern w:val="0"/>
        </w:rPr>
        <w:t>1.遵守法律法规、维护公共利益原则</w:t>
      </w:r>
      <w:bookmarkEnd w:id="39"/>
      <w:bookmarkEnd w:id="40"/>
      <w:bookmarkEnd w:id="41"/>
      <w:bookmarkEnd w:id="42"/>
      <w:bookmarkEnd w:id="43"/>
    </w:p>
    <w:p>
      <w:pPr>
        <w:adjustRightInd w:val="0"/>
        <w:snapToGrid w:val="0"/>
        <w:spacing w:line="600" w:lineRule="exact"/>
        <w:ind w:firstLine="640" w:firstLineChars="200"/>
        <w:rPr>
          <w:rFonts w:ascii="仿宋_GB2312" w:hAnsi="Times New Roman" w:eastAsia="仿宋_GB2312" w:cs="仿宋_GB2312"/>
          <w:kern w:val="0"/>
          <w:sz w:val="32"/>
          <w:szCs w:val="32"/>
        </w:rPr>
      </w:pPr>
      <w:r>
        <w:rPr>
          <w:rFonts w:hint="eastAsia" w:ascii="仿宋_GB2312" w:hAnsi="Times New Roman" w:eastAsia="仿宋_GB2312" w:cs="仿宋_GB2312"/>
          <w:kern w:val="0"/>
          <w:sz w:val="32"/>
          <w:szCs w:val="32"/>
        </w:rPr>
        <w:t>本批次土地征收成片开发方案编制严格遵循《中华人民共和国土地管理法》、《自然资源部土地征收成片开发标准（试行）》和《福建省土地征收成片开发方案报批实施细则（试行）》等有关法律、法规和规程的规定，符合洛江区国民经济和社会发展规划、国土空间规划，纳入洛江区国民经济和社会发展年度计划，符合国家产业政策和供地政策。</w:t>
      </w:r>
    </w:p>
    <w:p>
      <w:pPr>
        <w:adjustRightInd w:val="0"/>
        <w:snapToGrid w:val="0"/>
        <w:spacing w:line="600" w:lineRule="exact"/>
        <w:ind w:firstLine="640" w:firstLineChars="200"/>
        <w:rPr>
          <w:rFonts w:ascii="仿宋_GB2312" w:hAnsi="Times New Roman" w:eastAsia="仿宋_GB2312" w:cs="仿宋_GB2312"/>
          <w:kern w:val="0"/>
          <w:sz w:val="32"/>
          <w:szCs w:val="32"/>
        </w:rPr>
      </w:pPr>
      <w:r>
        <w:rPr>
          <w:rFonts w:hint="eastAsia" w:ascii="仿宋_GB2312" w:hAnsi="Times New Roman" w:eastAsia="仿宋_GB2312" w:cs="仿宋_GB2312"/>
          <w:kern w:val="0"/>
          <w:sz w:val="32"/>
          <w:szCs w:val="32"/>
        </w:rPr>
        <w:t>方案坚持以人民为中心，为公共利益的需要，成片开发范围内基础设施、公共服务设施以及其他公益性用地的比例符合要求，兼顾群众的现实和长远利益，切实维护群众合法权益，并充分征求成片开发区域内农村集体经济组织和农民的意见。</w:t>
      </w:r>
    </w:p>
    <w:p>
      <w:pPr>
        <w:pStyle w:val="4"/>
        <w:spacing w:before="0" w:after="0" w:line="600" w:lineRule="exact"/>
        <w:ind w:firstLine="643" w:firstLineChars="200"/>
        <w:rPr>
          <w:rFonts w:ascii="楷体_GB2312" w:eastAsia="楷体_GB2312"/>
          <w:kern w:val="0"/>
        </w:rPr>
      </w:pPr>
      <w:bookmarkStart w:id="45" w:name="_Toc64626462"/>
      <w:bookmarkStart w:id="46" w:name="_Toc64626907"/>
      <w:bookmarkStart w:id="47" w:name="_Toc20256"/>
      <w:bookmarkStart w:id="48" w:name="_Toc64641607"/>
      <w:bookmarkStart w:id="49" w:name="_Toc62061272"/>
      <w:r>
        <w:rPr>
          <w:rFonts w:hint="eastAsia" w:ascii="楷体_GB2312" w:eastAsia="楷体_GB2312"/>
          <w:kern w:val="0"/>
        </w:rPr>
        <w:t>2.科学合理编制、确保开发必要原则</w:t>
      </w:r>
      <w:bookmarkEnd w:id="45"/>
      <w:bookmarkEnd w:id="46"/>
      <w:bookmarkEnd w:id="47"/>
      <w:bookmarkEnd w:id="48"/>
      <w:bookmarkEnd w:id="49"/>
    </w:p>
    <w:p>
      <w:pPr>
        <w:adjustRightInd w:val="0"/>
        <w:snapToGrid w:val="0"/>
        <w:spacing w:line="600" w:lineRule="exact"/>
        <w:ind w:firstLine="640" w:firstLineChars="200"/>
        <w:rPr>
          <w:rFonts w:ascii="仿宋_GB2312" w:hAnsi="Times New Roman" w:eastAsia="仿宋_GB2312" w:cs="仿宋_GB2312"/>
          <w:kern w:val="0"/>
          <w:sz w:val="32"/>
          <w:szCs w:val="32"/>
        </w:rPr>
      </w:pPr>
      <w:bookmarkStart w:id="50" w:name="_Hlk63374927"/>
      <w:bookmarkStart w:id="51" w:name="_Hlk63374736"/>
      <w:r>
        <w:rPr>
          <w:rFonts w:hint="eastAsia" w:ascii="仿宋_GB2312" w:hAnsi="Times New Roman" w:eastAsia="仿宋_GB2312" w:cs="仿宋_GB2312"/>
          <w:kern w:val="0"/>
          <w:sz w:val="32"/>
          <w:szCs w:val="32"/>
        </w:rPr>
        <w:t>本批次成片土地开发</w:t>
      </w:r>
      <w:bookmarkEnd w:id="50"/>
      <w:r>
        <w:rPr>
          <w:rFonts w:hint="eastAsia" w:ascii="仿宋_GB2312" w:hAnsi="Times New Roman" w:eastAsia="仿宋_GB2312" w:cs="仿宋_GB2312"/>
          <w:kern w:val="0"/>
          <w:sz w:val="32"/>
          <w:szCs w:val="32"/>
        </w:rPr>
        <w:t>方案</w:t>
      </w:r>
      <w:bookmarkEnd w:id="51"/>
      <w:r>
        <w:rPr>
          <w:rFonts w:hint="eastAsia" w:ascii="仿宋_GB2312" w:hAnsi="Times New Roman" w:eastAsia="仿宋_GB2312" w:cs="仿宋_GB2312"/>
          <w:kern w:val="0"/>
          <w:sz w:val="32"/>
          <w:szCs w:val="32"/>
        </w:rPr>
        <w:t>编制坚持新发展理念，立足城市的长远发展，根据土地经济规律、社会经济发展和市场需求，确保开发的必要性。方案结合洛江区实际情况，因地制宜，有针对性地开展编制工作，着重解决急需的实际问题。</w:t>
      </w:r>
    </w:p>
    <w:p>
      <w:pPr>
        <w:pStyle w:val="4"/>
        <w:spacing w:before="0" w:after="0" w:line="600" w:lineRule="exact"/>
        <w:ind w:firstLine="643" w:firstLineChars="200"/>
        <w:rPr>
          <w:rFonts w:ascii="楷体_GB2312" w:eastAsia="楷体_GB2312"/>
          <w:kern w:val="0"/>
        </w:rPr>
      </w:pPr>
      <w:bookmarkStart w:id="52" w:name="_Toc64626463"/>
      <w:bookmarkStart w:id="53" w:name="_Toc64626908"/>
      <w:bookmarkStart w:id="54" w:name="_Toc62061273"/>
      <w:bookmarkStart w:id="55" w:name="_Toc5891"/>
      <w:bookmarkStart w:id="56" w:name="_Toc64641608"/>
      <w:r>
        <w:rPr>
          <w:rFonts w:hint="eastAsia" w:ascii="楷体_GB2312" w:eastAsia="楷体_GB2312"/>
          <w:kern w:val="0"/>
        </w:rPr>
        <w:t>3.严格保护耕地、节约集约用地原则</w:t>
      </w:r>
      <w:bookmarkEnd w:id="52"/>
      <w:bookmarkEnd w:id="53"/>
      <w:bookmarkEnd w:id="54"/>
      <w:bookmarkEnd w:id="55"/>
      <w:bookmarkEnd w:id="56"/>
    </w:p>
    <w:p>
      <w:pPr>
        <w:adjustRightInd w:val="0"/>
        <w:snapToGrid w:val="0"/>
        <w:spacing w:line="600" w:lineRule="exact"/>
        <w:ind w:firstLine="640" w:firstLineChars="200"/>
        <w:rPr>
          <w:rFonts w:ascii="仿宋_GB2312" w:hAnsi="Times New Roman" w:eastAsia="仿宋_GB2312" w:cs="仿宋_GB2312"/>
          <w:kern w:val="0"/>
          <w:sz w:val="32"/>
          <w:szCs w:val="32"/>
        </w:rPr>
      </w:pPr>
      <w:r>
        <w:rPr>
          <w:rFonts w:hint="eastAsia" w:ascii="仿宋_GB2312" w:hAnsi="Times New Roman" w:eastAsia="仿宋_GB2312" w:cs="仿宋_GB2312"/>
          <w:kern w:val="0"/>
          <w:sz w:val="32"/>
          <w:szCs w:val="32"/>
        </w:rPr>
        <w:t>本批次土地征收成片开发方案编制坚决落实最严格的耕地保护制度，尽量避让优质耕地，项目实施严格要求做到“占一补一，占优补优”原则。方案根据洛江区经济社会发展状况、实际用地需求、土地利用相关政策等确定成片开发范围，科学合理规划布局，优化资源配置，节约集约利用土地，提高土地利用效率。</w:t>
      </w:r>
      <w:bookmarkStart w:id="57" w:name="_Toc64626909"/>
      <w:bookmarkStart w:id="58" w:name="_Toc64626464"/>
    </w:p>
    <w:p>
      <w:pPr>
        <w:pStyle w:val="3"/>
        <w:spacing w:before="0" w:after="0" w:line="600" w:lineRule="exact"/>
        <w:ind w:firstLine="643" w:firstLineChars="200"/>
        <w:rPr>
          <w:rFonts w:ascii="楷体_GB2312" w:eastAsia="楷体_GB2312"/>
        </w:rPr>
      </w:pPr>
      <w:bookmarkStart w:id="59" w:name="_Toc64641609"/>
      <w:r>
        <w:rPr>
          <w:rFonts w:hint="eastAsia" w:ascii="楷体_GB2312" w:eastAsia="楷体_GB2312"/>
        </w:rPr>
        <w:t>（三）方案编制依据</w:t>
      </w:r>
      <w:bookmarkEnd w:id="44"/>
      <w:bookmarkEnd w:id="57"/>
      <w:bookmarkEnd w:id="58"/>
      <w:bookmarkEnd w:id="59"/>
    </w:p>
    <w:p>
      <w:pPr>
        <w:adjustRightInd w:val="0"/>
        <w:snapToGrid w:val="0"/>
        <w:spacing w:line="600" w:lineRule="exact"/>
        <w:ind w:firstLine="640" w:firstLineChars="200"/>
        <w:rPr>
          <w:rFonts w:ascii="仿宋_GB2312" w:hAnsi="Times New Roman" w:eastAsia="仿宋_GB2312" w:cs="仿宋_GB2312"/>
          <w:kern w:val="0"/>
          <w:sz w:val="32"/>
          <w:szCs w:val="32"/>
        </w:rPr>
      </w:pPr>
      <w:bookmarkStart w:id="60" w:name="_Toc61179718"/>
      <w:bookmarkStart w:id="61" w:name="_Toc62061284"/>
      <w:r>
        <w:rPr>
          <w:rFonts w:hint="eastAsia" w:ascii="仿宋_GB2312" w:hAnsi="Times New Roman" w:eastAsia="仿宋_GB2312" w:cs="仿宋_GB2312"/>
          <w:kern w:val="0"/>
          <w:sz w:val="32"/>
          <w:szCs w:val="32"/>
        </w:rPr>
        <w:t>1、《中华人民共和国土地管理法》（2019年）</w:t>
      </w:r>
    </w:p>
    <w:p>
      <w:pPr>
        <w:adjustRightInd w:val="0"/>
        <w:snapToGrid w:val="0"/>
        <w:spacing w:line="600" w:lineRule="exact"/>
        <w:ind w:firstLine="640" w:firstLineChars="200"/>
        <w:rPr>
          <w:rFonts w:ascii="仿宋_GB2312" w:hAnsi="Times New Roman" w:eastAsia="仿宋_GB2312" w:cs="仿宋_GB2312"/>
          <w:kern w:val="0"/>
          <w:sz w:val="32"/>
          <w:szCs w:val="32"/>
        </w:rPr>
      </w:pPr>
      <w:r>
        <w:rPr>
          <w:rFonts w:hint="eastAsia" w:ascii="仿宋_GB2312" w:hAnsi="Times New Roman" w:eastAsia="仿宋_GB2312" w:cs="仿宋_GB2312"/>
          <w:kern w:val="0"/>
          <w:sz w:val="32"/>
          <w:szCs w:val="32"/>
        </w:rPr>
        <w:t>2、《自然资源部关于印发&lt;土地征收成片开发标准（试行）&gt;的通知》（自然资规</w:t>
      </w:r>
      <w:r>
        <w:rPr>
          <w:rFonts w:hint="eastAsia" w:ascii="仿宋_GB2312" w:hAnsi="Times New Roman" w:eastAsia="仿宋_GB2312"/>
          <w:sz w:val="32"/>
          <w:szCs w:val="32"/>
        </w:rPr>
        <w:t>〔2020〕5号</w:t>
      </w:r>
      <w:r>
        <w:rPr>
          <w:rFonts w:hint="eastAsia" w:ascii="仿宋_GB2312" w:hAnsi="Times New Roman" w:eastAsia="仿宋_GB2312" w:cs="仿宋_GB2312"/>
          <w:kern w:val="0"/>
          <w:sz w:val="32"/>
          <w:szCs w:val="32"/>
        </w:rPr>
        <w:t>）</w:t>
      </w:r>
    </w:p>
    <w:p>
      <w:pPr>
        <w:adjustRightInd w:val="0"/>
        <w:snapToGrid w:val="0"/>
        <w:spacing w:line="600" w:lineRule="exact"/>
        <w:ind w:firstLine="640" w:firstLineChars="200"/>
        <w:rPr>
          <w:rFonts w:ascii="仿宋_GB2312" w:hAnsi="Times New Roman" w:eastAsia="仿宋_GB2312" w:cs="仿宋_GB2312"/>
          <w:kern w:val="0"/>
          <w:sz w:val="32"/>
          <w:szCs w:val="32"/>
        </w:rPr>
      </w:pPr>
      <w:r>
        <w:rPr>
          <w:rFonts w:hint="eastAsia" w:ascii="仿宋_GB2312" w:hAnsi="Times New Roman" w:eastAsia="仿宋_GB2312" w:cs="仿宋_GB2312"/>
          <w:kern w:val="0"/>
          <w:sz w:val="32"/>
          <w:szCs w:val="32"/>
        </w:rPr>
        <w:t>3、</w:t>
      </w:r>
      <w:bookmarkStart w:id="62" w:name="_Hlk63375575"/>
      <w:r>
        <w:rPr>
          <w:rFonts w:hint="eastAsia" w:ascii="仿宋_GB2312" w:hAnsi="Times New Roman" w:eastAsia="仿宋_GB2312" w:cs="仿宋_GB2312"/>
          <w:kern w:val="0"/>
          <w:sz w:val="32"/>
          <w:szCs w:val="32"/>
        </w:rPr>
        <w:t>《福建省土地征收成片开发方案报批实施细则（试行）》（闽自然资发</w:t>
      </w:r>
      <w:r>
        <w:rPr>
          <w:rFonts w:hint="eastAsia" w:ascii="仿宋_GB2312" w:hAnsi="Times New Roman" w:eastAsia="仿宋_GB2312"/>
          <w:sz w:val="32"/>
          <w:szCs w:val="32"/>
        </w:rPr>
        <w:t>〔2021〕</w:t>
      </w:r>
      <w:r>
        <w:rPr>
          <w:rFonts w:hint="eastAsia" w:ascii="仿宋_GB2312" w:hAnsi="Times New Roman" w:eastAsia="仿宋_GB2312" w:cs="仿宋_GB2312"/>
          <w:kern w:val="0"/>
          <w:sz w:val="32"/>
          <w:szCs w:val="32"/>
        </w:rPr>
        <w:t>3号）</w:t>
      </w:r>
      <w:bookmarkEnd w:id="62"/>
    </w:p>
    <w:p>
      <w:pPr>
        <w:adjustRightInd w:val="0"/>
        <w:snapToGrid w:val="0"/>
        <w:spacing w:line="600" w:lineRule="exact"/>
        <w:ind w:firstLine="640" w:firstLineChars="200"/>
        <w:rPr>
          <w:rFonts w:ascii="仿宋_GB2312" w:hAnsi="Times New Roman" w:eastAsia="仿宋_GB2312" w:cs="仿宋_GB2312"/>
          <w:kern w:val="0"/>
          <w:sz w:val="32"/>
          <w:szCs w:val="32"/>
        </w:rPr>
      </w:pPr>
      <w:r>
        <w:rPr>
          <w:rFonts w:hint="eastAsia" w:ascii="仿宋_GB2312" w:hAnsi="Times New Roman" w:eastAsia="仿宋_GB2312" w:cs="仿宋_GB2312"/>
          <w:kern w:val="0"/>
          <w:sz w:val="32"/>
          <w:szCs w:val="32"/>
        </w:rPr>
        <w:t>4、《国土空间调查、规划、用途管制用地用海分类指南（试行）》</w:t>
      </w:r>
    </w:p>
    <w:p>
      <w:pPr>
        <w:adjustRightInd w:val="0"/>
        <w:snapToGrid w:val="0"/>
        <w:spacing w:line="600" w:lineRule="exact"/>
        <w:ind w:firstLine="640" w:firstLineChars="200"/>
        <w:rPr>
          <w:rFonts w:ascii="仿宋_GB2312" w:hAnsi="Times New Roman" w:eastAsia="仿宋_GB2312" w:cs="仿宋_GB2312"/>
          <w:kern w:val="0"/>
          <w:sz w:val="32"/>
          <w:szCs w:val="32"/>
        </w:rPr>
      </w:pPr>
      <w:r>
        <w:rPr>
          <w:rFonts w:hint="eastAsia" w:ascii="仿宋_GB2312" w:hAnsi="Times New Roman" w:eastAsia="仿宋_GB2312" w:cs="仿宋_GB2312"/>
          <w:kern w:val="0"/>
          <w:sz w:val="32"/>
          <w:szCs w:val="32"/>
        </w:rPr>
        <w:t>5、洛江区土地利用总体规划</w:t>
      </w:r>
    </w:p>
    <w:p>
      <w:pPr>
        <w:widowControl/>
        <w:adjustRightInd w:val="0"/>
        <w:snapToGrid w:val="0"/>
        <w:spacing w:line="600" w:lineRule="exact"/>
        <w:rPr>
          <w:rFonts w:ascii="仿宋_GB2312" w:hAnsi="微软雅黑" w:eastAsia="仿宋_GB2312" w:cs="宋体"/>
          <w:color w:val="000000" w:themeColor="text1"/>
          <w:kern w:val="0"/>
          <w:sz w:val="32"/>
          <w:szCs w:val="32"/>
        </w:rPr>
      </w:pPr>
      <w:r>
        <w:rPr>
          <w:rFonts w:hint="eastAsia" w:ascii="仿宋_GB2312" w:hAnsi="宋体" w:eastAsia="仿宋_GB2312" w:cs="仿宋_GB2312"/>
          <w:kern w:val="0"/>
          <w:sz w:val="32"/>
          <w:szCs w:val="32"/>
        </w:rPr>
        <w:t xml:space="preserve">  </w:t>
      </w:r>
      <w:r>
        <w:rPr>
          <w:rFonts w:hint="eastAsia" w:ascii="仿宋_GB2312" w:hAnsi="宋体" w:eastAsia="仿宋_GB2312" w:cs="仿宋_GB2312"/>
          <w:color w:val="000000" w:themeColor="text1"/>
          <w:kern w:val="0"/>
          <w:sz w:val="32"/>
          <w:szCs w:val="32"/>
        </w:rPr>
        <w:t xml:space="preserve">  6、</w:t>
      </w:r>
      <w:r>
        <w:rPr>
          <w:rFonts w:hint="eastAsia" w:ascii="仿宋_GB2312" w:hAnsi="微软雅黑" w:eastAsia="仿宋_GB2312" w:cs="宋体"/>
          <w:color w:val="000000" w:themeColor="text1"/>
          <w:kern w:val="0"/>
          <w:sz w:val="32"/>
          <w:szCs w:val="32"/>
        </w:rPr>
        <w:t>洛江区2020年国民经济和社会发展计划执行情况及2021年计划（草案）的报告</w:t>
      </w:r>
    </w:p>
    <w:p>
      <w:pPr>
        <w:pStyle w:val="2"/>
        <w:spacing w:before="0" w:after="0" w:line="600" w:lineRule="exact"/>
        <w:ind w:firstLine="643" w:firstLineChars="200"/>
        <w:rPr>
          <w:sz w:val="32"/>
          <w:szCs w:val="32"/>
        </w:rPr>
      </w:pPr>
      <w:bookmarkStart w:id="63" w:name="_Toc20966"/>
      <w:bookmarkStart w:id="64" w:name="_Toc64641610"/>
      <w:bookmarkStart w:id="65" w:name="_Toc64626910"/>
      <w:bookmarkStart w:id="66" w:name="_Toc64626465"/>
      <w:r>
        <w:rPr>
          <w:rFonts w:hint="eastAsia"/>
          <w:sz w:val="32"/>
          <w:szCs w:val="32"/>
        </w:rPr>
        <w:t>二、方案编制条件</w:t>
      </w:r>
      <w:bookmarkEnd w:id="60"/>
      <w:bookmarkEnd w:id="61"/>
      <w:bookmarkEnd w:id="63"/>
      <w:bookmarkEnd w:id="64"/>
      <w:bookmarkEnd w:id="65"/>
      <w:bookmarkEnd w:id="66"/>
    </w:p>
    <w:p>
      <w:pPr>
        <w:pStyle w:val="4"/>
        <w:spacing w:before="0" w:after="0" w:line="600" w:lineRule="exact"/>
        <w:ind w:firstLine="643" w:firstLineChars="200"/>
        <w:rPr>
          <w:rFonts w:ascii="楷体_GB2312" w:eastAsia="楷体_GB2312"/>
          <w:kern w:val="0"/>
        </w:rPr>
      </w:pPr>
      <w:bookmarkStart w:id="67" w:name="_Toc64641611"/>
      <w:bookmarkStart w:id="68" w:name="_Toc64626911"/>
      <w:bookmarkStart w:id="69" w:name="_Toc64626466"/>
      <w:r>
        <w:rPr>
          <w:rFonts w:hint="eastAsia" w:ascii="楷体_GB2312" w:eastAsia="楷体_GB2312"/>
          <w:kern w:val="0"/>
        </w:rPr>
        <w:t>1.批而未供土地和闲置土地情况</w:t>
      </w:r>
      <w:bookmarkEnd w:id="67"/>
      <w:bookmarkEnd w:id="68"/>
      <w:bookmarkEnd w:id="69"/>
    </w:p>
    <w:p>
      <w:pPr>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以2021年为例：</w:t>
      </w:r>
    </w:p>
    <w:p>
      <w:pPr>
        <w:adjustRightInd w:val="0"/>
        <w:snapToGrid w:val="0"/>
        <w:spacing w:line="60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2021年截至1月底，洛江区批而未供土地面积188.71公顷≤500公顷。2019年和2020年，洛江区批而未供土地处置率分别为11.6%和22.3%。</w:t>
      </w:r>
    </w:p>
    <w:p>
      <w:pPr>
        <w:adjustRightInd w:val="0"/>
        <w:snapToGrid w:val="0"/>
        <w:spacing w:line="60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2021年截至1月底，洛江区闲置土地面积8.16公顷≤50公顷。2019年和2020年，洛江区闲置土地处置率分别为44.4%和87.9%，均已超过15%。</w:t>
      </w:r>
    </w:p>
    <w:p>
      <w:pPr>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符合</w:t>
      </w:r>
      <w:bookmarkStart w:id="70" w:name="_Hlk63375677"/>
      <w:r>
        <w:rPr>
          <w:rFonts w:hint="eastAsia" w:ascii="仿宋_GB2312" w:hAnsi="Times New Roman" w:eastAsia="仿宋_GB2312" w:cs="仿宋_GB2312"/>
          <w:kern w:val="0"/>
          <w:sz w:val="32"/>
          <w:szCs w:val="32"/>
        </w:rPr>
        <w:t>《福建省土地征收成片开发方案报批实施细则（试行）》（闽自然资发</w:t>
      </w:r>
      <w:r>
        <w:rPr>
          <w:rFonts w:hint="eastAsia" w:ascii="仿宋_GB2312" w:hAnsi="Times New Roman" w:eastAsia="仿宋_GB2312"/>
          <w:sz w:val="32"/>
          <w:szCs w:val="32"/>
        </w:rPr>
        <w:t>〔2021〕</w:t>
      </w:r>
      <w:r>
        <w:rPr>
          <w:rFonts w:hint="eastAsia" w:ascii="仿宋_GB2312" w:hAnsi="Times New Roman" w:eastAsia="仿宋_GB2312" w:cs="仿宋_GB2312"/>
          <w:kern w:val="0"/>
          <w:sz w:val="32"/>
          <w:szCs w:val="32"/>
        </w:rPr>
        <w:t>3号）</w:t>
      </w:r>
      <w:bookmarkEnd w:id="70"/>
      <w:r>
        <w:rPr>
          <w:rFonts w:hint="eastAsia" w:ascii="仿宋_GB2312" w:hAnsi="Times New Roman" w:eastAsia="仿宋_GB2312"/>
          <w:sz w:val="32"/>
          <w:szCs w:val="32"/>
        </w:rPr>
        <w:t>的要求。</w:t>
      </w:r>
    </w:p>
    <w:p>
      <w:pPr>
        <w:pStyle w:val="4"/>
        <w:spacing w:before="0" w:after="0" w:line="600" w:lineRule="exact"/>
        <w:ind w:firstLine="643" w:firstLineChars="200"/>
        <w:rPr>
          <w:rFonts w:ascii="楷体_GB2312" w:eastAsia="楷体_GB2312"/>
          <w:kern w:val="0"/>
        </w:rPr>
      </w:pPr>
      <w:bookmarkStart w:id="71" w:name="_Toc64626467"/>
      <w:bookmarkStart w:id="72" w:name="_Toc64626912"/>
      <w:bookmarkStart w:id="73" w:name="_Toc64641612"/>
      <w:r>
        <w:rPr>
          <w:rFonts w:hint="eastAsia" w:ascii="楷体_GB2312" w:eastAsia="楷体_GB2312"/>
          <w:kern w:val="0"/>
        </w:rPr>
        <w:t>2.开发区/城市新区土地利用效率情况</w:t>
      </w:r>
      <w:bookmarkEnd w:id="71"/>
      <w:bookmarkEnd w:id="72"/>
      <w:bookmarkEnd w:id="73"/>
    </w:p>
    <w:p>
      <w:pPr>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以2021年为例：</w:t>
      </w:r>
    </w:p>
    <w:p>
      <w:pPr>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洛江区共有1家省级以上开发区，福建洛江经济开发区（省级）2018年土地集约利用评价排名第72，2019年排名第78，2020年排名第71；均不属于连续三年排在全省后三名的情况，符合</w:t>
      </w:r>
      <w:r>
        <w:rPr>
          <w:rFonts w:hint="eastAsia" w:ascii="仿宋_GB2312" w:hAnsi="Times New Roman" w:eastAsia="仿宋_GB2312" w:cs="仿宋_GB2312"/>
          <w:kern w:val="0"/>
          <w:sz w:val="32"/>
          <w:szCs w:val="32"/>
        </w:rPr>
        <w:t>《福建省土地征收成片开发方案报批实施细则（试行）》（闽自然资发</w:t>
      </w:r>
      <w:r>
        <w:rPr>
          <w:rFonts w:hint="eastAsia" w:ascii="仿宋_GB2312" w:hAnsi="Times New Roman" w:eastAsia="仿宋_GB2312"/>
          <w:sz w:val="32"/>
          <w:szCs w:val="32"/>
        </w:rPr>
        <w:t>〔2021〕</w:t>
      </w:r>
      <w:r>
        <w:rPr>
          <w:rFonts w:hint="eastAsia" w:ascii="仿宋_GB2312" w:hAnsi="Times New Roman" w:eastAsia="仿宋_GB2312" w:cs="仿宋_GB2312"/>
          <w:kern w:val="0"/>
          <w:sz w:val="32"/>
          <w:szCs w:val="32"/>
        </w:rPr>
        <w:t>3号）</w:t>
      </w:r>
      <w:r>
        <w:rPr>
          <w:rFonts w:hint="eastAsia" w:ascii="仿宋_GB2312" w:hAnsi="Times New Roman" w:eastAsia="仿宋_GB2312"/>
          <w:sz w:val="32"/>
          <w:szCs w:val="32"/>
        </w:rPr>
        <w:t>的要求。</w:t>
      </w:r>
    </w:p>
    <w:p>
      <w:pPr>
        <w:pStyle w:val="4"/>
        <w:spacing w:before="0" w:after="0" w:line="600" w:lineRule="exact"/>
        <w:ind w:firstLine="643" w:firstLineChars="200"/>
        <w:rPr>
          <w:rFonts w:ascii="楷体_GB2312" w:eastAsia="楷体_GB2312"/>
          <w:kern w:val="0"/>
        </w:rPr>
      </w:pPr>
      <w:bookmarkStart w:id="74" w:name="_Toc64626913"/>
      <w:bookmarkStart w:id="75" w:name="_Toc64641613"/>
      <w:bookmarkStart w:id="76" w:name="_Toc64626468"/>
      <w:r>
        <w:rPr>
          <w:rFonts w:hint="eastAsia" w:ascii="楷体_GB2312" w:eastAsia="楷体_GB2312"/>
          <w:kern w:val="0"/>
        </w:rPr>
        <w:t>3.已批准土地征收成片开发方案实施情况</w:t>
      </w:r>
      <w:bookmarkEnd w:id="74"/>
      <w:bookmarkEnd w:id="75"/>
      <w:bookmarkEnd w:id="76"/>
    </w:p>
    <w:p>
      <w:pPr>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rPr>
        <w:t>洛江区</w:t>
      </w:r>
      <w:r>
        <w:rPr>
          <w:rFonts w:hint="eastAsia" w:ascii="仿宋_GB2312" w:hAnsi="Times New Roman" w:eastAsia="仿宋_GB2312"/>
          <w:sz w:val="32"/>
          <w:szCs w:val="32"/>
        </w:rPr>
        <w:t>无已批准的土地征收成片开发方案。</w:t>
      </w:r>
    </w:p>
    <w:p>
      <w:pPr>
        <w:pStyle w:val="2"/>
        <w:spacing w:before="0" w:after="0" w:line="600" w:lineRule="exact"/>
        <w:ind w:firstLine="643" w:firstLineChars="200"/>
        <w:rPr>
          <w:sz w:val="32"/>
          <w:szCs w:val="32"/>
        </w:rPr>
      </w:pPr>
      <w:bookmarkStart w:id="77" w:name="_Toc62061285"/>
      <w:bookmarkStart w:id="78" w:name="_Toc64626469"/>
      <w:bookmarkStart w:id="79" w:name="_Toc64626914"/>
      <w:bookmarkStart w:id="80" w:name="_Toc61179719"/>
      <w:bookmarkStart w:id="81" w:name="_Toc32648"/>
      <w:bookmarkStart w:id="82" w:name="_Toc64641614"/>
      <w:r>
        <w:rPr>
          <w:rFonts w:hint="eastAsia"/>
          <w:sz w:val="32"/>
          <w:szCs w:val="32"/>
        </w:rPr>
        <w:t>三、基本情况</w:t>
      </w:r>
      <w:bookmarkEnd w:id="77"/>
      <w:bookmarkEnd w:id="78"/>
      <w:bookmarkEnd w:id="79"/>
      <w:bookmarkEnd w:id="80"/>
      <w:bookmarkEnd w:id="81"/>
      <w:bookmarkEnd w:id="82"/>
    </w:p>
    <w:p>
      <w:pPr>
        <w:pStyle w:val="4"/>
        <w:spacing w:before="0" w:after="0" w:line="600" w:lineRule="exact"/>
        <w:ind w:firstLine="643" w:firstLineChars="200"/>
        <w:rPr>
          <w:rFonts w:ascii="楷体_GB2312" w:eastAsia="楷体_GB2312"/>
          <w:kern w:val="0"/>
        </w:rPr>
      </w:pPr>
      <w:bookmarkStart w:id="83" w:name="_Toc64626470"/>
      <w:bookmarkStart w:id="84" w:name="_Toc64626915"/>
      <w:bookmarkStart w:id="85" w:name="_Toc61179720"/>
      <w:bookmarkStart w:id="86" w:name="_Toc64641615"/>
      <w:r>
        <w:rPr>
          <w:rFonts w:hint="eastAsia" w:ascii="楷体_GB2312" w:eastAsia="楷体_GB2312"/>
          <w:kern w:val="0"/>
        </w:rPr>
        <w:t>1.成片开发位置、范围、面积</w:t>
      </w:r>
      <w:bookmarkEnd w:id="83"/>
      <w:bookmarkEnd w:id="84"/>
      <w:bookmarkEnd w:id="85"/>
      <w:bookmarkEnd w:id="86"/>
    </w:p>
    <w:p>
      <w:pPr>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本方案涉及泉州市洛江区河市镇溪山村、蛟南村、河市村，共1个镇3个村；</w:t>
      </w:r>
      <w:r>
        <w:rPr>
          <w:rFonts w:hint="eastAsia" w:ascii="仿宋_GB2312" w:hAnsi="Times New Roman" w:eastAsia="仿宋_GB2312" w:cs="仿宋_GB2312"/>
          <w:sz w:val="32"/>
          <w:szCs w:val="32"/>
        </w:rPr>
        <w:t>涉及1个国有单位，</w:t>
      </w:r>
      <w:r>
        <w:rPr>
          <w:rFonts w:hint="eastAsia" w:ascii="仿宋_GB2312" w:hAnsi="Times New Roman" w:eastAsia="仿宋_GB2312"/>
          <w:sz w:val="32"/>
          <w:szCs w:val="32"/>
        </w:rPr>
        <w:t>涉及福建洛江经济开发区（省级开发区）。具体见附表1土地利用现状及权属统计表、</w:t>
      </w:r>
      <w:bookmarkStart w:id="87" w:name="_Hlk64645609"/>
      <w:r>
        <w:rPr>
          <w:rFonts w:hint="eastAsia" w:ascii="仿宋_GB2312" w:hAnsi="Times New Roman" w:eastAsia="仿宋_GB2312"/>
          <w:sz w:val="32"/>
          <w:szCs w:val="32"/>
        </w:rPr>
        <w:t>附图1</w:t>
      </w:r>
      <w:r>
        <w:rPr>
          <w:rFonts w:hint="eastAsia" w:ascii="仿宋_GB2312" w:hAnsi="Times New Roman" w:eastAsia="仿宋_GB2312" w:cs="仿宋_GB2312"/>
          <w:sz w:val="32"/>
          <w:szCs w:val="32"/>
        </w:rPr>
        <w:t>位置示意图</w:t>
      </w:r>
      <w:bookmarkEnd w:id="87"/>
      <w:r>
        <w:rPr>
          <w:rFonts w:hint="eastAsia" w:ascii="仿宋_GB2312" w:hAnsi="Times New Roman" w:eastAsia="仿宋_GB2312"/>
          <w:sz w:val="32"/>
          <w:szCs w:val="32"/>
        </w:rPr>
        <w:t>。</w:t>
      </w:r>
    </w:p>
    <w:p>
      <w:pPr>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根据实地勘测调查，本方案成片开发范围总面积42.7669公顷，其中：农用地</w:t>
      </w:r>
      <w:r>
        <w:rPr>
          <w:rFonts w:ascii="仿宋_GB2312" w:hAnsi="Times New Roman" w:eastAsia="仿宋_GB2312"/>
          <w:sz w:val="32"/>
          <w:szCs w:val="32"/>
        </w:rPr>
        <w:t>22.3861</w:t>
      </w:r>
      <w:r>
        <w:rPr>
          <w:rFonts w:hint="eastAsia" w:ascii="仿宋_GB2312" w:hAnsi="Times New Roman" w:eastAsia="仿宋_GB2312"/>
          <w:sz w:val="32"/>
          <w:szCs w:val="32"/>
        </w:rPr>
        <w:t>公顷（其中：耕地</w:t>
      </w:r>
      <w:r>
        <w:rPr>
          <w:rFonts w:ascii="仿宋_GB2312" w:hAnsi="Times New Roman" w:eastAsia="仿宋_GB2312"/>
          <w:sz w:val="32"/>
          <w:szCs w:val="32"/>
        </w:rPr>
        <w:t>20.4076</w:t>
      </w:r>
      <w:r>
        <w:rPr>
          <w:rFonts w:hint="eastAsia" w:ascii="仿宋_GB2312" w:hAnsi="Times New Roman" w:eastAsia="仿宋_GB2312"/>
          <w:sz w:val="32"/>
          <w:szCs w:val="32"/>
        </w:rPr>
        <w:t>公顷），建设用地</w:t>
      </w:r>
      <w:r>
        <w:rPr>
          <w:rFonts w:ascii="仿宋_GB2312" w:hAnsi="Times New Roman" w:eastAsia="仿宋_GB2312"/>
          <w:sz w:val="32"/>
          <w:szCs w:val="32"/>
        </w:rPr>
        <w:t>20.2028</w:t>
      </w:r>
      <w:r>
        <w:rPr>
          <w:rFonts w:hint="eastAsia" w:ascii="仿宋_GB2312" w:hAnsi="Times New Roman" w:eastAsia="仿宋_GB2312"/>
          <w:sz w:val="32"/>
          <w:szCs w:val="32"/>
        </w:rPr>
        <w:t>公顷，未利用地</w:t>
      </w:r>
      <w:r>
        <w:rPr>
          <w:rFonts w:ascii="仿宋_GB2312" w:hAnsi="Times New Roman" w:eastAsia="仿宋_GB2312"/>
          <w:sz w:val="32"/>
          <w:szCs w:val="32"/>
        </w:rPr>
        <w:t>0.178</w:t>
      </w:r>
      <w:r>
        <w:rPr>
          <w:rFonts w:hint="eastAsia" w:ascii="仿宋_GB2312" w:hAnsi="Times New Roman" w:eastAsia="仿宋_GB2312"/>
          <w:sz w:val="32"/>
          <w:szCs w:val="32"/>
        </w:rPr>
        <w:t>公顷。具体见附表1土地利用现状及权属统计表、附图2</w:t>
      </w:r>
      <w:r>
        <w:rPr>
          <w:rFonts w:hint="eastAsia" w:ascii="仿宋_GB2312" w:hAnsi="Times New Roman" w:eastAsia="仿宋_GB2312" w:cs="仿宋_GB2312"/>
          <w:sz w:val="32"/>
          <w:szCs w:val="32"/>
        </w:rPr>
        <w:t>土地利用现状图</w:t>
      </w:r>
      <w:r>
        <w:rPr>
          <w:rFonts w:hint="eastAsia" w:ascii="仿宋_GB2312" w:hAnsi="Times New Roman" w:eastAsia="仿宋_GB2312"/>
          <w:sz w:val="32"/>
          <w:szCs w:val="32"/>
        </w:rPr>
        <w:t>。</w:t>
      </w:r>
    </w:p>
    <w:p>
      <w:pPr>
        <w:pStyle w:val="4"/>
        <w:spacing w:before="0" w:after="0" w:line="600" w:lineRule="exact"/>
        <w:ind w:firstLine="643" w:firstLineChars="200"/>
        <w:rPr>
          <w:rFonts w:ascii="楷体_GB2312" w:eastAsia="楷体_GB2312"/>
          <w:kern w:val="0"/>
        </w:rPr>
      </w:pPr>
      <w:bookmarkStart w:id="88" w:name="_Toc61179722"/>
      <w:bookmarkStart w:id="89" w:name="_Toc64626471"/>
      <w:bookmarkStart w:id="90" w:name="_Toc64626916"/>
      <w:bookmarkStart w:id="91" w:name="_Toc64641616"/>
      <w:r>
        <w:rPr>
          <w:rFonts w:hint="eastAsia" w:ascii="楷体_GB2312" w:eastAsia="楷体_GB2312"/>
          <w:kern w:val="0"/>
        </w:rPr>
        <w:t>2</w:t>
      </w:r>
      <w:bookmarkEnd w:id="88"/>
      <w:bookmarkStart w:id="92" w:name="_Toc61179723"/>
      <w:r>
        <w:rPr>
          <w:rFonts w:hint="eastAsia" w:ascii="楷体_GB2312" w:eastAsia="楷体_GB2312"/>
          <w:kern w:val="0"/>
        </w:rPr>
        <w:t>.实施周期</w:t>
      </w:r>
      <w:bookmarkEnd w:id="89"/>
      <w:bookmarkEnd w:id="90"/>
      <w:bookmarkEnd w:id="91"/>
      <w:bookmarkEnd w:id="92"/>
    </w:p>
    <w:p>
      <w:pPr>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综合考虑当地社会经济发展状况等因素，本方案实施周期为2年（2021年至2022年）。</w:t>
      </w:r>
    </w:p>
    <w:p>
      <w:pPr>
        <w:pStyle w:val="2"/>
        <w:spacing w:before="0" w:after="0" w:line="600" w:lineRule="exact"/>
        <w:ind w:firstLine="643" w:firstLineChars="200"/>
        <w:rPr>
          <w:sz w:val="32"/>
          <w:szCs w:val="32"/>
        </w:rPr>
      </w:pPr>
      <w:bookmarkStart w:id="93" w:name="_Toc61179724"/>
      <w:bookmarkStart w:id="94" w:name="_Toc64626472"/>
      <w:bookmarkStart w:id="95" w:name="_Toc62061286"/>
      <w:bookmarkStart w:id="96" w:name="_Toc64626917"/>
      <w:bookmarkStart w:id="97" w:name="_Toc23028"/>
      <w:bookmarkStart w:id="98" w:name="_Toc64641617"/>
      <w:r>
        <w:rPr>
          <w:rFonts w:hint="eastAsia"/>
          <w:sz w:val="32"/>
          <w:szCs w:val="32"/>
        </w:rPr>
        <w:t>四、必要性</w:t>
      </w:r>
      <w:bookmarkEnd w:id="93"/>
      <w:r>
        <w:rPr>
          <w:rFonts w:hint="eastAsia"/>
          <w:sz w:val="32"/>
          <w:szCs w:val="32"/>
        </w:rPr>
        <w:t>分析</w:t>
      </w:r>
      <w:bookmarkEnd w:id="94"/>
      <w:bookmarkEnd w:id="95"/>
      <w:bookmarkEnd w:id="96"/>
      <w:bookmarkEnd w:id="97"/>
      <w:bookmarkEnd w:id="98"/>
    </w:p>
    <w:p>
      <w:pPr>
        <w:adjustRightInd w:val="0"/>
        <w:snapToGrid w:val="0"/>
        <w:spacing w:line="600" w:lineRule="exact"/>
        <w:ind w:firstLine="640" w:firstLineChars="200"/>
        <w:rPr>
          <w:rFonts w:ascii="仿宋_GB2312" w:hAnsi="仿宋" w:eastAsia="仿宋_GB2312" w:cs="仿宋_GB2312"/>
          <w:color w:val="000000" w:themeColor="text1"/>
          <w:sz w:val="32"/>
          <w:szCs w:val="32"/>
        </w:rPr>
      </w:pPr>
      <w:r>
        <w:rPr>
          <w:rFonts w:hint="eastAsia" w:ascii="仿宋_GB2312" w:hAnsi="宋体" w:eastAsia="仿宋_GB2312"/>
          <w:color w:val="000000" w:themeColor="text1"/>
          <w:sz w:val="32"/>
          <w:szCs w:val="32"/>
        </w:rPr>
        <w:t>本批</w:t>
      </w:r>
      <w:r>
        <w:rPr>
          <w:rFonts w:hint="eastAsia" w:ascii="仿宋_GB2312" w:hAnsi="微软雅黑" w:eastAsia="仿宋_GB2312" w:cs="微软雅黑"/>
          <w:color w:val="000000" w:themeColor="text1"/>
          <w:sz w:val="32"/>
          <w:szCs w:val="32"/>
        </w:rPr>
        <w:t>次土地征收成片开发位于</w:t>
      </w:r>
      <w:bookmarkStart w:id="99" w:name="_Hlk63377614"/>
      <w:r>
        <w:rPr>
          <w:rFonts w:hint="eastAsia" w:ascii="仿宋_GB2312" w:hAnsi="微软雅黑" w:eastAsia="仿宋_GB2312" w:cs="微软雅黑"/>
          <w:color w:val="000000" w:themeColor="text1"/>
          <w:sz w:val="32"/>
          <w:szCs w:val="32"/>
        </w:rPr>
        <w:t>省级经济开发区</w:t>
      </w:r>
      <w:bookmarkEnd w:id="99"/>
      <w:r>
        <w:rPr>
          <w:rFonts w:hint="eastAsia" w:ascii="仿宋_GB2312" w:hAnsi="微软雅黑" w:eastAsia="仿宋_GB2312" w:cs="微软雅黑"/>
          <w:color w:val="000000" w:themeColor="text1"/>
          <w:sz w:val="32"/>
          <w:szCs w:val="32"/>
        </w:rPr>
        <w:t>—福建洛江经济开发区西片园区内，属于省级</w:t>
      </w:r>
      <w:r>
        <w:rPr>
          <w:rFonts w:hint="eastAsia" w:ascii="仿宋_GB2312" w:hAnsi="微软雅黑" w:eastAsia="仿宋_GB2312" w:cs="宋体"/>
          <w:color w:val="000000"/>
          <w:kern w:val="36"/>
          <w:sz w:val="32"/>
          <w:szCs w:val="32"/>
        </w:rPr>
        <w:t>智能制造试点示范基地，</w:t>
      </w:r>
      <w:r>
        <w:rPr>
          <w:rFonts w:hint="eastAsia" w:ascii="仿宋_GB2312" w:hAnsi="微软雅黑" w:eastAsia="仿宋_GB2312" w:cs="微软雅黑"/>
          <w:color w:val="000000" w:themeColor="text1"/>
          <w:sz w:val="32"/>
          <w:szCs w:val="32"/>
        </w:rPr>
        <w:t>在洛江区土地利用总体规划规划</w:t>
      </w:r>
      <w:r>
        <w:rPr>
          <w:rFonts w:hint="eastAsia" w:ascii="仿宋_GB2312" w:hAnsi="仿宋" w:eastAsia="仿宋_GB2312" w:cs="仿宋_GB2312"/>
          <w:color w:val="000000"/>
          <w:sz w:val="32"/>
          <w:szCs w:val="32"/>
        </w:rPr>
        <w:t>确定的城镇建设用地范围内，</w:t>
      </w:r>
      <w:r>
        <w:rPr>
          <w:rFonts w:hint="eastAsia" w:ascii="仿宋_GB2312" w:hAnsi="微软雅黑" w:eastAsia="仿宋_GB2312" w:cs="微软雅黑"/>
          <w:color w:val="000000" w:themeColor="text1"/>
          <w:sz w:val="32"/>
          <w:szCs w:val="32"/>
        </w:rPr>
        <w:t>符合洛江区土地利用总体规划，洛江区城市建设规划，</w:t>
      </w:r>
      <w:r>
        <w:rPr>
          <w:rFonts w:hint="eastAsia" w:ascii="仿宋_GB2312" w:hAnsi="仿宋" w:eastAsia="仿宋_GB2312" w:cs="仿宋_GB2312"/>
          <w:color w:val="000000" w:themeColor="text1"/>
          <w:sz w:val="32"/>
          <w:szCs w:val="32"/>
        </w:rPr>
        <w:t>列入</w:t>
      </w:r>
      <w:r>
        <w:rPr>
          <w:rFonts w:hint="eastAsia" w:ascii="仿宋_GB2312" w:hAnsi="微软雅黑" w:eastAsia="仿宋_GB2312" w:cs="宋体"/>
          <w:color w:val="000000" w:themeColor="text1"/>
          <w:kern w:val="0"/>
          <w:sz w:val="32"/>
          <w:szCs w:val="32"/>
        </w:rPr>
        <w:t>洛江区2021年国民经济和社会发展计划</w:t>
      </w:r>
      <w:r>
        <w:rPr>
          <w:rFonts w:hint="eastAsia" w:ascii="仿宋_GB2312" w:hAnsi="仿宋" w:eastAsia="仿宋_GB2312" w:cs="仿宋_GB2312"/>
          <w:color w:val="000000"/>
          <w:sz w:val="32"/>
          <w:szCs w:val="32"/>
        </w:rPr>
        <w:t>，</w:t>
      </w:r>
      <w:r>
        <w:rPr>
          <w:rFonts w:hint="eastAsia" w:ascii="仿宋_GB2312" w:hAnsi="微软雅黑" w:eastAsia="仿宋_GB2312" w:cs="微软雅黑"/>
          <w:color w:val="000000" w:themeColor="text1"/>
          <w:sz w:val="32"/>
          <w:szCs w:val="32"/>
        </w:rPr>
        <w:t>已</w:t>
      </w:r>
      <w:r>
        <w:rPr>
          <w:rFonts w:hint="eastAsia" w:ascii="仿宋_GB2312" w:hAnsi="仿宋" w:eastAsia="仿宋_GB2312" w:cs="仿宋_GB2312"/>
          <w:color w:val="000000"/>
          <w:sz w:val="32"/>
          <w:szCs w:val="32"/>
        </w:rPr>
        <w:t>与正在编制的国土空间规划进行充分衔接。</w:t>
      </w:r>
      <w:r>
        <w:rPr>
          <w:rFonts w:hint="eastAsia" w:ascii="仿宋_GB2312" w:hAnsi="微软雅黑" w:eastAsia="仿宋_GB2312" w:cs="微软雅黑"/>
          <w:color w:val="000000" w:themeColor="text1"/>
          <w:sz w:val="32"/>
          <w:szCs w:val="32"/>
        </w:rPr>
        <w:t>通过实施土地征收成片开发，可与省级经济开发区原已入驻企业连成一片，为</w:t>
      </w:r>
      <w:r>
        <w:rPr>
          <w:rFonts w:hint="eastAsia" w:ascii="仿宋_GB2312" w:hAnsi="宋体" w:eastAsia="仿宋_GB2312" w:cs="宋体"/>
          <w:color w:val="000000"/>
          <w:kern w:val="0"/>
          <w:sz w:val="32"/>
          <w:szCs w:val="32"/>
        </w:rPr>
        <w:t>引导工业项目优先在开发区建设提供载体，有利于发挥规划管控和用途管制作用，形成布局集中、产业集聚、用地集约的</w:t>
      </w:r>
      <w:r>
        <w:rPr>
          <w:rFonts w:hint="eastAsia" w:ascii="仿宋_GB2312" w:hAnsi="微软雅黑" w:eastAsia="仿宋_GB2312" w:cs="微软雅黑"/>
          <w:color w:val="000000" w:themeColor="text1"/>
          <w:sz w:val="32"/>
          <w:szCs w:val="32"/>
        </w:rPr>
        <w:t>省级开发区，有利于</w:t>
      </w:r>
      <w:r>
        <w:rPr>
          <w:rFonts w:hint="eastAsia" w:ascii="仿宋_GB2312" w:hAnsi="黑体" w:eastAsia="仿宋_GB2312"/>
          <w:color w:val="000000" w:themeColor="text1"/>
          <w:spacing w:val="8"/>
          <w:sz w:val="32"/>
          <w:szCs w:val="32"/>
        </w:rPr>
        <w:t>推进洛江区土地利用总体规划、洛江区城市建设规划和今后国土空间规划的实施，促进洛江区土地利用总体规划、洛江区城市建设规划和今后国土空间规划确定的各项规划目标的实现，规划引进</w:t>
      </w:r>
      <w:r>
        <w:rPr>
          <w:rFonts w:hint="eastAsia" w:ascii="仿宋_GB2312" w:hAnsi="微软雅黑" w:eastAsia="仿宋_GB2312" w:cs="宋体"/>
          <w:color w:val="000000" w:themeColor="text1"/>
          <w:kern w:val="0"/>
          <w:sz w:val="32"/>
          <w:szCs w:val="32"/>
        </w:rPr>
        <w:t>三一筑工（泉州）建筑科技项目，</w:t>
      </w:r>
      <w:r>
        <w:rPr>
          <w:rFonts w:hint="eastAsia" w:ascii="仿宋_GB2312" w:hAnsi="黑体" w:eastAsia="仿宋_GB2312"/>
          <w:color w:val="000000" w:themeColor="text1"/>
          <w:spacing w:val="8"/>
          <w:sz w:val="32"/>
          <w:szCs w:val="32"/>
        </w:rPr>
        <w:t>有利于推进省级经济开发区、</w:t>
      </w:r>
      <w:bookmarkStart w:id="100" w:name="_Hlk63604866"/>
      <w:r>
        <w:rPr>
          <w:rFonts w:hint="eastAsia" w:ascii="仿宋_GB2312" w:hAnsi="微软雅黑" w:eastAsia="仿宋_GB2312" w:cs="宋体"/>
          <w:color w:val="000000"/>
          <w:kern w:val="36"/>
          <w:sz w:val="32"/>
          <w:szCs w:val="32"/>
        </w:rPr>
        <w:t>省级智能制造试点示范基地</w:t>
      </w:r>
      <w:bookmarkEnd w:id="100"/>
      <w:r>
        <w:rPr>
          <w:rFonts w:hint="eastAsia" w:ascii="仿宋_GB2312" w:hAnsi="微软雅黑" w:eastAsia="仿宋_GB2312" w:cs="宋体"/>
          <w:color w:val="000000"/>
          <w:kern w:val="36"/>
          <w:sz w:val="32"/>
          <w:szCs w:val="32"/>
        </w:rPr>
        <w:t>建设，</w:t>
      </w:r>
      <w:r>
        <w:rPr>
          <w:rFonts w:hint="eastAsia" w:ascii="仿宋_GB2312" w:hAnsi="Times New Roman" w:eastAsia="仿宋_GB2312"/>
          <w:sz w:val="32"/>
          <w:szCs w:val="32"/>
        </w:rPr>
        <w:t>提高土地利用效率，带动就业，规划建设河西路市政道路、河市第三中心小学用地，将进一步完善片区教育、市政道路等公共服务设施，改善片区人居环境，保障片区儿童方便就近入学</w:t>
      </w:r>
      <w:r>
        <w:rPr>
          <w:rFonts w:hint="eastAsia" w:ascii="仿宋_GB2312" w:hAnsi="黑体" w:eastAsia="仿宋_GB2312"/>
          <w:color w:val="000000" w:themeColor="text1"/>
          <w:spacing w:val="8"/>
          <w:sz w:val="32"/>
          <w:szCs w:val="32"/>
        </w:rPr>
        <w:t>，对</w:t>
      </w:r>
      <w:r>
        <w:rPr>
          <w:rFonts w:hint="eastAsia" w:ascii="仿宋_GB2312" w:hAnsi="微软雅黑" w:eastAsia="仿宋_GB2312" w:cs="宋体"/>
          <w:color w:val="000000" w:themeColor="text1"/>
          <w:kern w:val="0"/>
          <w:sz w:val="32"/>
          <w:szCs w:val="32"/>
        </w:rPr>
        <w:t>促进实现洛江区2021年</w:t>
      </w:r>
      <w:r>
        <w:rPr>
          <w:rFonts w:hint="eastAsia" w:ascii="仿宋_GB2312" w:hAnsi="微软雅黑" w:eastAsia="仿宋_GB2312" w:cs="微软雅黑"/>
          <w:color w:val="000000" w:themeColor="text1"/>
          <w:kern w:val="0"/>
          <w:sz w:val="32"/>
          <w:szCs w:val="32"/>
        </w:rPr>
        <w:t>及“十四五”规划预定的国民经济发展目标具有积极作用。</w:t>
      </w:r>
    </w:p>
    <w:p>
      <w:pPr>
        <w:pStyle w:val="2"/>
        <w:spacing w:before="0" w:after="0" w:line="600" w:lineRule="exact"/>
        <w:ind w:firstLine="643" w:firstLineChars="200"/>
        <w:rPr>
          <w:sz w:val="32"/>
          <w:szCs w:val="32"/>
        </w:rPr>
      </w:pPr>
      <w:bookmarkStart w:id="101" w:name="_Toc64641618"/>
      <w:bookmarkStart w:id="102" w:name="_Toc26151"/>
      <w:bookmarkStart w:id="103" w:name="_Toc64626473"/>
      <w:bookmarkStart w:id="104" w:name="_Toc64626918"/>
      <w:bookmarkStart w:id="105" w:name="_Toc62061287"/>
      <w:bookmarkStart w:id="106" w:name="_Toc61179727"/>
      <w:r>
        <w:rPr>
          <w:rFonts w:hint="eastAsia"/>
          <w:sz w:val="32"/>
          <w:szCs w:val="32"/>
        </w:rPr>
        <w:t>五、主要用途、实现功能及公益性用地比例</w:t>
      </w:r>
      <w:bookmarkEnd w:id="101"/>
      <w:bookmarkEnd w:id="102"/>
      <w:bookmarkEnd w:id="103"/>
      <w:bookmarkEnd w:id="104"/>
      <w:bookmarkEnd w:id="105"/>
    </w:p>
    <w:p>
      <w:pPr>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本方案共4个地块，用地总面积42.7669公顷，主要用途为</w:t>
      </w:r>
      <w:bookmarkStart w:id="107" w:name="_Hlk63378597"/>
      <w:r>
        <w:rPr>
          <w:rFonts w:hint="eastAsia" w:ascii="仿宋_GB2312" w:hAnsi="宋体" w:eastAsia="仿宋_GB2312"/>
          <w:color w:val="000000" w:themeColor="text1"/>
          <w:sz w:val="32"/>
          <w:szCs w:val="32"/>
        </w:rPr>
        <w:t>工业用地</w:t>
      </w:r>
      <w:bookmarkEnd w:id="107"/>
      <w:r>
        <w:rPr>
          <w:rFonts w:hint="eastAsia" w:ascii="仿宋_GB2312" w:hAnsi="宋体" w:eastAsia="仿宋_GB2312"/>
          <w:color w:val="000000" w:themeColor="text1"/>
          <w:sz w:val="32"/>
          <w:szCs w:val="32"/>
        </w:rPr>
        <w:t>、</w:t>
      </w:r>
      <w:bookmarkStart w:id="108" w:name="_Hlk63378797"/>
      <w:bookmarkStart w:id="109" w:name="_Hlk63379187"/>
      <w:r>
        <w:rPr>
          <w:rFonts w:hint="eastAsia" w:ascii="仿宋_GB2312" w:hAnsi="Times New Roman" w:eastAsia="仿宋_GB2312" w:cs="仿宋_GB2312"/>
          <w:kern w:val="0"/>
          <w:sz w:val="32"/>
          <w:szCs w:val="32"/>
        </w:rPr>
        <w:t>城镇道路用地</w:t>
      </w:r>
      <w:bookmarkEnd w:id="108"/>
      <w:r>
        <w:rPr>
          <w:rFonts w:hint="eastAsia" w:ascii="仿宋_GB2312" w:hAnsi="宋体" w:eastAsia="仿宋_GB2312"/>
          <w:color w:val="000000" w:themeColor="text1"/>
          <w:sz w:val="32"/>
          <w:szCs w:val="32"/>
        </w:rPr>
        <w:t>、</w:t>
      </w:r>
      <w:bookmarkStart w:id="110" w:name="_Hlk63378859"/>
      <w:r>
        <w:rPr>
          <w:rFonts w:hint="eastAsia" w:ascii="仿宋_GB2312" w:hAnsi="宋体" w:eastAsia="仿宋_GB2312"/>
          <w:color w:val="000000" w:themeColor="text1"/>
          <w:sz w:val="32"/>
          <w:szCs w:val="32"/>
        </w:rPr>
        <w:t>教育用地</w:t>
      </w:r>
      <w:bookmarkEnd w:id="110"/>
      <w:r>
        <w:rPr>
          <w:rFonts w:hint="eastAsia" w:ascii="仿宋_GB2312" w:hAnsi="宋体" w:eastAsia="仿宋_GB2312"/>
          <w:color w:val="000000" w:themeColor="text1"/>
          <w:sz w:val="32"/>
          <w:szCs w:val="32"/>
        </w:rPr>
        <w:t>、</w:t>
      </w:r>
      <w:bookmarkStart w:id="111" w:name="_Hlk61200494"/>
      <w:r>
        <w:rPr>
          <w:rFonts w:hint="eastAsia" w:ascii="仿宋_GB2312" w:hAnsi="宋体" w:eastAsia="仿宋_GB2312"/>
          <w:color w:val="000000" w:themeColor="text1"/>
          <w:sz w:val="32"/>
          <w:szCs w:val="32"/>
        </w:rPr>
        <w:t>监教场所用地</w:t>
      </w:r>
      <w:bookmarkEnd w:id="109"/>
      <w:bookmarkEnd w:id="111"/>
      <w:r>
        <w:rPr>
          <w:rFonts w:hint="eastAsia" w:ascii="仿宋_GB2312" w:hAnsi="Times New Roman" w:eastAsia="仿宋_GB2312"/>
          <w:sz w:val="32"/>
          <w:szCs w:val="32"/>
        </w:rPr>
        <w:t>。其中</w:t>
      </w:r>
      <w:r>
        <w:rPr>
          <w:rFonts w:hint="eastAsia" w:ascii="仿宋_GB2312" w:hAnsi="宋体" w:eastAsia="仿宋_GB2312"/>
          <w:color w:val="000000" w:themeColor="text1"/>
          <w:sz w:val="32"/>
          <w:szCs w:val="32"/>
        </w:rPr>
        <w:t>工业用地</w:t>
      </w:r>
      <w:r>
        <w:rPr>
          <w:rFonts w:hint="eastAsia" w:ascii="仿宋_GB2312" w:hAnsi="Times New Roman" w:eastAsia="仿宋_GB2312"/>
          <w:sz w:val="32"/>
          <w:szCs w:val="32"/>
        </w:rPr>
        <w:t>用途地块1个，面积24.9157公顷，实现省级开发片区、省级智能制造试点示范基地工业产业生产功能；</w:t>
      </w:r>
      <w:r>
        <w:rPr>
          <w:rFonts w:hint="eastAsia" w:ascii="仿宋_GB2312" w:hAnsi="Times New Roman" w:eastAsia="仿宋_GB2312" w:cs="仿宋_GB2312"/>
          <w:kern w:val="0"/>
          <w:sz w:val="32"/>
          <w:szCs w:val="32"/>
        </w:rPr>
        <w:t>城镇道路用地</w:t>
      </w:r>
      <w:r>
        <w:rPr>
          <w:rFonts w:hint="eastAsia" w:ascii="仿宋_GB2312" w:hAnsi="Times New Roman" w:eastAsia="仿宋_GB2312"/>
          <w:sz w:val="32"/>
          <w:szCs w:val="32"/>
        </w:rPr>
        <w:t>用途地块1个，面积6.7154公顷，实现省级开发片区完善交通网络，方便通行，满足省级开发区运行基础设施保障需要功能；</w:t>
      </w:r>
      <w:bookmarkStart w:id="112" w:name="_Hlk63378949"/>
      <w:r>
        <w:rPr>
          <w:rFonts w:hint="eastAsia" w:ascii="仿宋_GB2312" w:hAnsi="宋体" w:eastAsia="仿宋_GB2312"/>
          <w:color w:val="000000" w:themeColor="text1"/>
          <w:sz w:val="32"/>
          <w:szCs w:val="32"/>
        </w:rPr>
        <w:t>教育用地</w:t>
      </w:r>
      <w:r>
        <w:rPr>
          <w:rFonts w:hint="eastAsia" w:ascii="仿宋_GB2312" w:hAnsi="Times New Roman" w:eastAsia="仿宋_GB2312"/>
          <w:sz w:val="32"/>
          <w:szCs w:val="32"/>
        </w:rPr>
        <w:t>用途地块1个，面积3.1364公顷，实现片区儿童就近接受义务教育功能；</w:t>
      </w:r>
      <w:bookmarkEnd w:id="112"/>
      <w:bookmarkStart w:id="113" w:name="_Hlk63379097"/>
      <w:r>
        <w:rPr>
          <w:rFonts w:hint="eastAsia" w:ascii="仿宋_GB2312" w:hAnsi="宋体" w:eastAsia="仿宋_GB2312"/>
          <w:color w:val="000000" w:themeColor="text1"/>
          <w:sz w:val="32"/>
          <w:szCs w:val="32"/>
        </w:rPr>
        <w:t>监教场所</w:t>
      </w:r>
      <w:bookmarkEnd w:id="113"/>
      <w:r>
        <w:rPr>
          <w:rFonts w:hint="eastAsia" w:ascii="仿宋_GB2312" w:hAnsi="宋体" w:eastAsia="仿宋_GB2312"/>
          <w:color w:val="000000" w:themeColor="text1"/>
          <w:sz w:val="32"/>
          <w:szCs w:val="32"/>
        </w:rPr>
        <w:t>用地</w:t>
      </w:r>
      <w:r>
        <w:rPr>
          <w:rFonts w:hint="eastAsia" w:ascii="仿宋_GB2312" w:hAnsi="Times New Roman" w:eastAsia="仿宋_GB2312"/>
          <w:sz w:val="32"/>
          <w:szCs w:val="32"/>
        </w:rPr>
        <w:t>用途地块1个，面积7.9994公顷，实现完善全省</w:t>
      </w:r>
      <w:r>
        <w:rPr>
          <w:rFonts w:hint="eastAsia" w:ascii="仿宋_GB2312" w:hAnsi="宋体" w:eastAsia="仿宋_GB2312"/>
          <w:color w:val="000000" w:themeColor="text1"/>
          <w:sz w:val="32"/>
          <w:szCs w:val="32"/>
        </w:rPr>
        <w:t>监教设施，增强司法监教能力</w:t>
      </w:r>
      <w:r>
        <w:rPr>
          <w:rFonts w:hint="eastAsia" w:ascii="仿宋_GB2312" w:hAnsi="Times New Roman" w:eastAsia="仿宋_GB2312"/>
          <w:sz w:val="32"/>
          <w:szCs w:val="32"/>
        </w:rPr>
        <w:t>功能。</w:t>
      </w:r>
      <w:bookmarkStart w:id="114" w:name="_Hlk64645620"/>
      <w:r>
        <w:rPr>
          <w:rFonts w:hint="eastAsia" w:ascii="仿宋_GB2312" w:hAnsi="Times New Roman" w:eastAsia="仿宋_GB2312"/>
          <w:sz w:val="32"/>
          <w:szCs w:val="32"/>
        </w:rPr>
        <w:t>具体见</w:t>
      </w:r>
      <w:bookmarkEnd w:id="114"/>
      <w:r>
        <w:rPr>
          <w:rFonts w:hint="eastAsia" w:ascii="仿宋_GB2312" w:hAnsi="Times New Roman" w:eastAsia="仿宋_GB2312"/>
          <w:sz w:val="32"/>
          <w:szCs w:val="32"/>
        </w:rPr>
        <w:t>附表2地块用途、面积及实现功能统计表。</w:t>
      </w:r>
    </w:p>
    <w:p>
      <w:pPr>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kern w:val="0"/>
          <w:sz w:val="32"/>
          <w:szCs w:val="32"/>
        </w:rPr>
        <w:t>城镇道路用地</w:t>
      </w:r>
      <w:r>
        <w:rPr>
          <w:rFonts w:hint="eastAsia" w:ascii="仿宋_GB2312" w:hAnsi="宋体" w:eastAsia="仿宋_GB2312"/>
          <w:color w:val="000000" w:themeColor="text1"/>
          <w:sz w:val="32"/>
          <w:szCs w:val="32"/>
        </w:rPr>
        <w:t>、教育用地、监教场所用地</w:t>
      </w:r>
      <w:r>
        <w:rPr>
          <w:rFonts w:hint="eastAsia" w:ascii="仿宋_GB2312" w:hAnsi="Times New Roman" w:eastAsia="仿宋_GB2312"/>
          <w:sz w:val="32"/>
          <w:szCs w:val="32"/>
        </w:rPr>
        <w:t>属于公益性用地，合计17.8512公顷，占用地总面积的41.74%，符合</w:t>
      </w:r>
      <w:r>
        <w:rPr>
          <w:rFonts w:hint="eastAsia" w:ascii="仿宋_GB2312" w:hAnsi="Times New Roman" w:eastAsia="仿宋_GB2312" w:cs="仿宋_GB2312"/>
          <w:kern w:val="0"/>
          <w:sz w:val="32"/>
          <w:szCs w:val="32"/>
        </w:rPr>
        <w:t>《自然资源部关于印发&lt;土地征收成片开发标准（试行）&gt;的通知》（自然资规</w:t>
      </w:r>
      <w:r>
        <w:rPr>
          <w:rFonts w:hint="eastAsia" w:ascii="仿宋_GB2312" w:hAnsi="Times New Roman" w:eastAsia="仿宋_GB2312"/>
          <w:sz w:val="32"/>
          <w:szCs w:val="32"/>
        </w:rPr>
        <w:t>〔2020〕5号</w:t>
      </w:r>
      <w:r>
        <w:rPr>
          <w:rFonts w:hint="eastAsia" w:ascii="仿宋_GB2312" w:hAnsi="Times New Roman" w:eastAsia="仿宋_GB2312" w:cs="仿宋_GB2312"/>
          <w:kern w:val="0"/>
          <w:sz w:val="32"/>
          <w:szCs w:val="32"/>
        </w:rPr>
        <w:t>）规定</w:t>
      </w:r>
      <w:r>
        <w:rPr>
          <w:rFonts w:hint="eastAsia" w:ascii="仿宋_GB2312" w:hAnsi="Times New Roman" w:eastAsia="仿宋_GB2312"/>
          <w:sz w:val="32"/>
          <w:szCs w:val="32"/>
        </w:rPr>
        <w:t>，具体见附图</w:t>
      </w:r>
      <w:r>
        <w:rPr>
          <w:rFonts w:ascii="仿宋_GB2312" w:hAnsi="Times New Roman" w:eastAsia="仿宋_GB2312"/>
          <w:sz w:val="32"/>
          <w:szCs w:val="32"/>
        </w:rPr>
        <w:t>3</w:t>
      </w:r>
      <w:r>
        <w:rPr>
          <w:rFonts w:hint="eastAsia" w:ascii="仿宋_GB2312" w:hAnsi="Times New Roman" w:eastAsia="仿宋_GB2312"/>
          <w:sz w:val="32"/>
          <w:szCs w:val="32"/>
        </w:rPr>
        <w:t>公益性用地</w:t>
      </w:r>
      <w:r>
        <w:rPr>
          <w:rFonts w:hint="eastAsia" w:ascii="仿宋_GB2312" w:hAnsi="Times New Roman" w:eastAsia="仿宋_GB2312" w:cs="仿宋_GB2312"/>
          <w:sz w:val="32"/>
          <w:szCs w:val="32"/>
        </w:rPr>
        <w:t>分布图</w:t>
      </w:r>
      <w:r>
        <w:rPr>
          <w:rFonts w:hint="eastAsia" w:ascii="仿宋_GB2312" w:hAnsi="Times New Roman" w:eastAsia="仿宋_GB2312"/>
          <w:sz w:val="32"/>
          <w:szCs w:val="32"/>
        </w:rPr>
        <w:t>。</w:t>
      </w:r>
    </w:p>
    <w:bookmarkEnd w:id="106"/>
    <w:p>
      <w:pPr>
        <w:pStyle w:val="2"/>
        <w:spacing w:before="0" w:after="0" w:line="600" w:lineRule="exact"/>
        <w:ind w:firstLine="643" w:firstLineChars="200"/>
        <w:rPr>
          <w:sz w:val="32"/>
          <w:szCs w:val="32"/>
        </w:rPr>
      </w:pPr>
      <w:bookmarkStart w:id="115" w:name="_Toc64626919"/>
      <w:bookmarkStart w:id="116" w:name="_Toc62061288"/>
      <w:bookmarkStart w:id="117" w:name="_Toc61179730"/>
      <w:bookmarkStart w:id="118" w:name="_Toc64626474"/>
      <w:bookmarkStart w:id="119" w:name="_Toc24277"/>
      <w:bookmarkStart w:id="120" w:name="_Toc64641619"/>
      <w:r>
        <w:rPr>
          <w:rFonts w:hint="eastAsia"/>
          <w:sz w:val="32"/>
          <w:szCs w:val="32"/>
        </w:rPr>
        <w:t>六、实施计划</w:t>
      </w:r>
      <w:bookmarkEnd w:id="115"/>
      <w:bookmarkEnd w:id="116"/>
      <w:bookmarkEnd w:id="117"/>
      <w:bookmarkEnd w:id="118"/>
      <w:bookmarkEnd w:id="119"/>
      <w:bookmarkEnd w:id="120"/>
    </w:p>
    <w:p>
      <w:pPr>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本方案拟安排实施项目面积42.7669公顷，计划实施周期为2021-2022年，2年内实施完毕，其中：2021年实施面积39.6305公顷、完成比例92.67%；2022年实施面积3.1364公顷、完成比例7.33%。具体见附表3拟建设项目统计表、附表4开发时序和年度实施计划统计表。</w:t>
      </w:r>
    </w:p>
    <w:p>
      <w:pPr>
        <w:pStyle w:val="2"/>
        <w:spacing w:before="0" w:after="0" w:line="600" w:lineRule="exact"/>
        <w:ind w:firstLine="643" w:firstLineChars="200"/>
        <w:rPr>
          <w:sz w:val="32"/>
          <w:szCs w:val="32"/>
        </w:rPr>
      </w:pPr>
      <w:bookmarkStart w:id="121" w:name="_Toc64626920"/>
      <w:bookmarkStart w:id="122" w:name="_Toc64626475"/>
      <w:bookmarkStart w:id="123" w:name="_Toc61179731"/>
      <w:bookmarkStart w:id="124" w:name="_Toc62061289"/>
      <w:bookmarkStart w:id="125" w:name="_Toc3558"/>
      <w:bookmarkStart w:id="126" w:name="_Toc64641620"/>
      <w:r>
        <w:rPr>
          <w:rFonts w:hint="eastAsia"/>
          <w:sz w:val="32"/>
          <w:szCs w:val="32"/>
        </w:rPr>
        <w:t>七、合规性分析</w:t>
      </w:r>
      <w:bookmarkEnd w:id="121"/>
      <w:bookmarkEnd w:id="122"/>
      <w:bookmarkEnd w:id="123"/>
      <w:bookmarkEnd w:id="124"/>
      <w:bookmarkEnd w:id="125"/>
      <w:bookmarkEnd w:id="126"/>
    </w:p>
    <w:p>
      <w:pPr>
        <w:pStyle w:val="4"/>
        <w:spacing w:before="0" w:after="0" w:line="600" w:lineRule="exact"/>
        <w:ind w:firstLine="643" w:firstLineChars="200"/>
        <w:rPr>
          <w:rFonts w:ascii="楷体_GB2312" w:eastAsia="楷体_GB2312"/>
          <w:kern w:val="0"/>
        </w:rPr>
      </w:pPr>
      <w:bookmarkStart w:id="127" w:name="_Toc64626921"/>
      <w:bookmarkStart w:id="128" w:name="_Toc64626476"/>
      <w:bookmarkStart w:id="129" w:name="_Toc61179732"/>
      <w:bookmarkStart w:id="130" w:name="_Toc64641621"/>
      <w:r>
        <w:rPr>
          <w:rFonts w:hint="eastAsia" w:ascii="楷体_GB2312" w:eastAsia="楷体_GB2312"/>
          <w:kern w:val="0"/>
        </w:rPr>
        <w:t>1.国土空间规划</w:t>
      </w:r>
      <w:bookmarkEnd w:id="127"/>
      <w:bookmarkEnd w:id="128"/>
      <w:bookmarkEnd w:id="129"/>
      <w:bookmarkEnd w:id="130"/>
    </w:p>
    <w:p>
      <w:pPr>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宋体" w:eastAsia="仿宋_GB2312"/>
          <w:color w:val="000000" w:themeColor="text1"/>
          <w:sz w:val="32"/>
          <w:szCs w:val="32"/>
        </w:rPr>
        <w:t>本批</w:t>
      </w:r>
      <w:r>
        <w:rPr>
          <w:rFonts w:hint="eastAsia" w:ascii="仿宋_GB2312" w:hAnsi="微软雅黑" w:eastAsia="仿宋_GB2312" w:cs="微软雅黑"/>
          <w:color w:val="000000" w:themeColor="text1"/>
          <w:sz w:val="32"/>
          <w:szCs w:val="32"/>
        </w:rPr>
        <w:t>次土地征收成片开发位于洛江区土地利用总体规划规划</w:t>
      </w:r>
      <w:r>
        <w:rPr>
          <w:rFonts w:hint="eastAsia" w:ascii="仿宋_GB2312" w:hAnsi="仿宋" w:eastAsia="仿宋_GB2312" w:cs="仿宋_GB2312"/>
          <w:color w:val="000000"/>
          <w:sz w:val="32"/>
          <w:szCs w:val="32"/>
        </w:rPr>
        <w:t>确定的</w:t>
      </w:r>
      <w:r>
        <w:rPr>
          <w:rFonts w:hint="eastAsia" w:ascii="仿宋_GB2312" w:hAnsi="Times New Roman" w:eastAsia="仿宋_GB2312"/>
          <w:sz w:val="32"/>
          <w:szCs w:val="32"/>
        </w:rPr>
        <w:t>允许建设区、有条件建设区内</w:t>
      </w:r>
      <w:r>
        <w:rPr>
          <w:rFonts w:hint="eastAsia" w:ascii="仿宋_GB2312" w:hAnsi="仿宋" w:eastAsia="仿宋_GB2312" w:cs="仿宋_GB2312"/>
          <w:color w:val="000000"/>
          <w:sz w:val="32"/>
          <w:szCs w:val="32"/>
        </w:rPr>
        <w:t>，</w:t>
      </w:r>
      <w:r>
        <w:rPr>
          <w:rFonts w:hint="eastAsia" w:ascii="仿宋_GB2312" w:hAnsi="微软雅黑" w:eastAsia="仿宋_GB2312" w:cs="微软雅黑"/>
          <w:color w:val="000000" w:themeColor="text1"/>
          <w:sz w:val="32"/>
          <w:szCs w:val="32"/>
        </w:rPr>
        <w:t>符合洛江区土地利用总体规划，洛江区城市建设规划，并</w:t>
      </w:r>
      <w:r>
        <w:rPr>
          <w:rFonts w:hint="eastAsia" w:ascii="仿宋_GB2312" w:hAnsi="仿宋" w:eastAsia="仿宋_GB2312" w:cs="仿宋_GB2312"/>
          <w:color w:val="000000"/>
          <w:sz w:val="32"/>
          <w:szCs w:val="32"/>
        </w:rPr>
        <w:t>与正在编制的国土空间规划进行充分衔接，</w:t>
      </w:r>
      <w:r>
        <w:rPr>
          <w:rFonts w:hint="eastAsia" w:ascii="仿宋_GB2312" w:hAnsi="Times New Roman" w:eastAsia="仿宋_GB2312"/>
          <w:sz w:val="32"/>
          <w:szCs w:val="32"/>
        </w:rPr>
        <w:t>符合国土空间规划实施管理政策。本方案获批后，本批次土地征收成片开发范围将纳入国土空间规划确定的城镇开发边界内的集中建设区。详见附图4土地利用总体规划范围示意图、附图5城乡规划范围示意图。</w:t>
      </w:r>
    </w:p>
    <w:p>
      <w:pPr>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国土空间规划批准实施后，成片开发范围位于国土空间规划确定的城镇开发边界内的集中建设区，并符合规划管控要求。</w:t>
      </w:r>
    </w:p>
    <w:p>
      <w:pPr>
        <w:pStyle w:val="4"/>
        <w:spacing w:before="0" w:after="0" w:line="600" w:lineRule="exact"/>
        <w:ind w:firstLine="643" w:firstLineChars="200"/>
        <w:rPr>
          <w:rFonts w:ascii="楷体_GB2312" w:eastAsia="楷体_GB2312"/>
          <w:kern w:val="0"/>
        </w:rPr>
      </w:pPr>
      <w:bookmarkStart w:id="131" w:name="_Toc64626922"/>
      <w:bookmarkStart w:id="132" w:name="_Toc61179733"/>
      <w:bookmarkStart w:id="133" w:name="_Toc64626477"/>
      <w:bookmarkStart w:id="134" w:name="_Toc64641622"/>
      <w:r>
        <w:rPr>
          <w:rFonts w:hint="eastAsia" w:ascii="楷体_GB2312" w:eastAsia="楷体_GB2312"/>
          <w:kern w:val="0"/>
        </w:rPr>
        <w:t>2.国民经济和社会发展规划、年度计划</w:t>
      </w:r>
      <w:bookmarkEnd w:id="131"/>
      <w:bookmarkEnd w:id="132"/>
      <w:bookmarkEnd w:id="133"/>
      <w:bookmarkEnd w:id="134"/>
    </w:p>
    <w:p>
      <w:pPr>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本方案符合现行国民经济和社会发展规划，土地征收成片开发拟建项目符合规划的发展定位、要求，有利于完成规划目标、任务。方案已纳入2</w:t>
      </w:r>
      <w:r>
        <w:rPr>
          <w:rFonts w:ascii="仿宋_GB2312" w:hAnsi="Times New Roman" w:eastAsia="仿宋_GB2312"/>
          <w:sz w:val="32"/>
          <w:szCs w:val="32"/>
        </w:rPr>
        <w:t>021</w:t>
      </w:r>
      <w:r>
        <w:rPr>
          <w:rFonts w:hint="eastAsia" w:ascii="仿宋_GB2312" w:hAnsi="Times New Roman" w:eastAsia="仿宋_GB2312"/>
          <w:sz w:val="32"/>
          <w:szCs w:val="32"/>
        </w:rPr>
        <w:t>年国民经济和社会发展年度计划。相关证明材料具体见附件。</w:t>
      </w:r>
      <w:bookmarkStart w:id="135" w:name="_Toc61179734"/>
    </w:p>
    <w:p>
      <w:pPr>
        <w:pStyle w:val="4"/>
        <w:spacing w:before="0" w:after="0" w:line="600" w:lineRule="exact"/>
        <w:ind w:firstLine="643" w:firstLineChars="200"/>
        <w:rPr>
          <w:rFonts w:ascii="楷体_GB2312" w:eastAsia="楷体_GB2312"/>
          <w:kern w:val="0"/>
        </w:rPr>
      </w:pPr>
      <w:bookmarkStart w:id="136" w:name="_Toc64626478"/>
      <w:bookmarkStart w:id="137" w:name="_Toc64626923"/>
      <w:bookmarkStart w:id="138" w:name="_Toc64641623"/>
      <w:r>
        <w:rPr>
          <w:rFonts w:hint="eastAsia" w:ascii="楷体_GB2312" w:eastAsia="楷体_GB2312"/>
          <w:kern w:val="0"/>
        </w:rPr>
        <w:t>3.占用永久基本农田</w:t>
      </w:r>
      <w:bookmarkEnd w:id="135"/>
      <w:r>
        <w:rPr>
          <w:rFonts w:hint="eastAsia" w:ascii="楷体_GB2312" w:eastAsia="楷体_GB2312"/>
          <w:kern w:val="0"/>
        </w:rPr>
        <w:t>、生态保护红线和其他法律法规规定不允许占用或开发的</w:t>
      </w:r>
      <w:bookmarkEnd w:id="136"/>
      <w:bookmarkEnd w:id="137"/>
      <w:bookmarkEnd w:id="138"/>
    </w:p>
    <w:p>
      <w:pPr>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本方案未占用永久基本农田、生态保护红线和其他法律法规规定不允许占用或开发的区域。</w:t>
      </w:r>
      <w:bookmarkStart w:id="139" w:name="_Toc61179744"/>
      <w:bookmarkStart w:id="140" w:name="_Toc62061290"/>
      <w:bookmarkStart w:id="141" w:name="_Toc64626479"/>
      <w:bookmarkStart w:id="142" w:name="_Toc64626924"/>
    </w:p>
    <w:p>
      <w:pPr>
        <w:pStyle w:val="2"/>
        <w:spacing w:before="0" w:after="0" w:line="600" w:lineRule="exact"/>
        <w:ind w:firstLine="643" w:firstLineChars="200"/>
        <w:rPr>
          <w:sz w:val="32"/>
          <w:szCs w:val="32"/>
        </w:rPr>
      </w:pPr>
      <w:bookmarkStart w:id="143" w:name="_Toc64641624"/>
      <w:r>
        <w:rPr>
          <w:rFonts w:hint="eastAsia"/>
          <w:sz w:val="32"/>
          <w:szCs w:val="32"/>
        </w:rPr>
        <w:t>八、土地利用效益评估</w:t>
      </w:r>
      <w:bookmarkEnd w:id="139"/>
      <w:bookmarkEnd w:id="140"/>
      <w:bookmarkEnd w:id="141"/>
      <w:bookmarkEnd w:id="142"/>
      <w:bookmarkEnd w:id="143"/>
    </w:p>
    <w:p>
      <w:pPr>
        <w:pStyle w:val="4"/>
        <w:spacing w:before="0" w:after="0" w:line="600" w:lineRule="exact"/>
        <w:ind w:firstLine="643" w:firstLineChars="200"/>
        <w:rPr>
          <w:rFonts w:ascii="楷体_GB2312" w:eastAsia="楷体_GB2312"/>
          <w:kern w:val="0"/>
        </w:rPr>
      </w:pPr>
      <w:bookmarkStart w:id="144" w:name="_Toc274"/>
      <w:bookmarkStart w:id="145" w:name="_Toc8854"/>
      <w:bookmarkStart w:id="146" w:name="_Toc64641625"/>
      <w:r>
        <w:rPr>
          <w:rFonts w:hint="eastAsia" w:ascii="楷体_GB2312" w:eastAsia="楷体_GB2312"/>
          <w:kern w:val="0"/>
        </w:rPr>
        <w:t>1.经济效益</w:t>
      </w:r>
      <w:bookmarkEnd w:id="144"/>
      <w:bookmarkEnd w:id="145"/>
      <w:bookmarkEnd w:id="146"/>
    </w:p>
    <w:p>
      <w:pPr>
        <w:adjustRightInd w:val="0"/>
        <w:snapToGrid w:val="0"/>
        <w:spacing w:line="600" w:lineRule="exact"/>
        <w:ind w:firstLine="640" w:firstLineChars="200"/>
        <w:rPr>
          <w:rFonts w:ascii="仿宋_GB2312" w:hAnsi="微软雅黑" w:eastAsia="仿宋_GB2312" w:cs="微软雅黑"/>
          <w:sz w:val="32"/>
          <w:szCs w:val="32"/>
        </w:rPr>
      </w:pPr>
      <w:r>
        <w:rPr>
          <w:rFonts w:hint="eastAsia" w:ascii="仿宋_GB2312" w:hAnsi="Times New Roman" w:eastAsia="仿宋_GB2312"/>
          <w:sz w:val="32"/>
          <w:szCs w:val="32"/>
        </w:rPr>
        <w:t>实施本批次成片开发，可出让工业用地24.9157公顷，按照洛江区该片区基准地价20万元/亩测算，可</w:t>
      </w:r>
      <w:bookmarkStart w:id="147" w:name="_Hlk63380661"/>
      <w:r>
        <w:rPr>
          <w:rFonts w:hint="eastAsia" w:ascii="仿宋_GB2312" w:hAnsi="微软雅黑" w:eastAsia="仿宋_GB2312" w:cs="微软雅黑"/>
          <w:sz w:val="32"/>
          <w:szCs w:val="32"/>
        </w:rPr>
        <w:t>获得</w:t>
      </w:r>
      <w:bookmarkEnd w:id="147"/>
      <w:r>
        <w:rPr>
          <w:rFonts w:hint="eastAsia" w:ascii="仿宋_GB2312" w:hAnsi="微软雅黑" w:eastAsia="仿宋_GB2312" w:cs="微软雅黑"/>
          <w:sz w:val="32"/>
          <w:szCs w:val="32"/>
        </w:rPr>
        <w:t>土地出让金收入7474.71万元。该片区位于省级开发区，按照预申请企业承诺书及</w:t>
      </w:r>
      <w:r>
        <w:rPr>
          <w:rFonts w:hint="eastAsia" w:ascii="仿宋_GB2312" w:hAnsi="宋体" w:eastAsia="仿宋_GB2312" w:cs="宋体"/>
          <w:color w:val="000000"/>
          <w:kern w:val="0"/>
          <w:sz w:val="32"/>
          <w:szCs w:val="32"/>
        </w:rPr>
        <w:t>沿海省级开发区，新建工业项目的固定资产投入强度不低于270万元/亩、地均税收不低于20万元/亩</w:t>
      </w:r>
      <w:r>
        <w:rPr>
          <w:rFonts w:hint="eastAsia" w:ascii="仿宋_GB2312" w:hAnsi="微软雅黑" w:eastAsia="仿宋_GB2312" w:cs="微软雅黑"/>
          <w:sz w:val="32"/>
          <w:szCs w:val="32"/>
        </w:rPr>
        <w:t>测算，每年可获得税收7474.71万元以上，经济效益可观</w:t>
      </w:r>
    </w:p>
    <w:p>
      <w:pPr>
        <w:pStyle w:val="4"/>
        <w:spacing w:before="0" w:after="0" w:line="600" w:lineRule="exact"/>
        <w:ind w:firstLine="643" w:firstLineChars="200"/>
        <w:rPr>
          <w:rFonts w:ascii="楷体_GB2312" w:eastAsia="楷体_GB2312"/>
          <w:kern w:val="0"/>
        </w:rPr>
      </w:pPr>
      <w:bookmarkStart w:id="148" w:name="_Toc6749"/>
      <w:bookmarkStart w:id="149" w:name="_Toc30539"/>
      <w:bookmarkStart w:id="150" w:name="_Toc64641626"/>
      <w:r>
        <w:rPr>
          <w:rFonts w:hint="eastAsia" w:ascii="楷体_GB2312" w:eastAsia="楷体_GB2312"/>
          <w:kern w:val="0"/>
        </w:rPr>
        <w:t>2.社会效益</w:t>
      </w:r>
      <w:bookmarkEnd w:id="148"/>
      <w:bookmarkEnd w:id="149"/>
      <w:bookmarkEnd w:id="150"/>
    </w:p>
    <w:p>
      <w:pPr>
        <w:adjustRightInd w:val="0"/>
        <w:snapToGrid w:val="0"/>
        <w:spacing w:line="600" w:lineRule="exact"/>
        <w:ind w:firstLine="640" w:firstLineChars="200"/>
        <w:rPr>
          <w:rFonts w:ascii="仿宋_GB2312" w:hAnsi="微软雅黑" w:eastAsia="仿宋_GB2312" w:cs="微软雅黑"/>
          <w:sz w:val="32"/>
          <w:szCs w:val="32"/>
        </w:rPr>
      </w:pPr>
      <w:bookmarkStart w:id="151" w:name="_Hlk63381260"/>
      <w:r>
        <w:rPr>
          <w:rFonts w:hint="eastAsia" w:ascii="仿宋_GB2312" w:hAnsi="Times New Roman" w:eastAsia="仿宋_GB2312"/>
          <w:sz w:val="32"/>
          <w:szCs w:val="32"/>
        </w:rPr>
        <w:t>实施本批次成片开发，</w:t>
      </w:r>
      <w:bookmarkEnd w:id="151"/>
      <w:r>
        <w:rPr>
          <w:rFonts w:hint="eastAsia" w:ascii="仿宋_GB2312" w:hAnsi="Times New Roman" w:eastAsia="仿宋_GB2312"/>
          <w:sz w:val="32"/>
          <w:szCs w:val="32"/>
        </w:rPr>
        <w:t>引进工业产业项目，按照企业提供的预申请承诺书，可带动就业8</w:t>
      </w:r>
      <w:r>
        <w:rPr>
          <w:rFonts w:ascii="仿宋_GB2312" w:hAnsi="Times New Roman" w:eastAsia="仿宋_GB2312"/>
          <w:sz w:val="32"/>
          <w:szCs w:val="32"/>
        </w:rPr>
        <w:t>00</w:t>
      </w:r>
      <w:r>
        <w:rPr>
          <w:rFonts w:hint="eastAsia" w:ascii="仿宋_GB2312" w:hAnsi="Times New Roman" w:eastAsia="仿宋_GB2312"/>
          <w:sz w:val="32"/>
          <w:szCs w:val="32"/>
        </w:rPr>
        <w:t>人，解决当地农民就业问题，建设河市第三中心小学民生工程，有效解决片区教育资源紧张状况，实现片区儿童就近入学接受义务教育，建设河西路市政道路，完善了片区交通网络，方便群众出行，</w:t>
      </w:r>
      <w:r>
        <w:rPr>
          <w:rFonts w:hint="eastAsia" w:ascii="仿宋_GB2312" w:hAnsi="微软雅黑" w:eastAsia="仿宋_GB2312" w:cs="微软雅黑"/>
          <w:sz w:val="32"/>
          <w:szCs w:val="32"/>
        </w:rPr>
        <w:t>加速推进洛江区城镇化进程，群众反应良好，社会效益显著。</w:t>
      </w:r>
    </w:p>
    <w:p>
      <w:pPr>
        <w:pStyle w:val="4"/>
        <w:spacing w:before="0" w:after="0" w:line="600" w:lineRule="exact"/>
        <w:ind w:firstLine="643" w:firstLineChars="200"/>
        <w:rPr>
          <w:rFonts w:ascii="楷体_GB2312" w:eastAsia="楷体_GB2312"/>
          <w:kern w:val="0"/>
        </w:rPr>
      </w:pPr>
      <w:bookmarkStart w:id="152" w:name="_Toc29492"/>
      <w:bookmarkStart w:id="153" w:name="_Toc6026"/>
      <w:bookmarkStart w:id="154" w:name="_Toc64641627"/>
      <w:r>
        <w:rPr>
          <w:rFonts w:hint="eastAsia" w:ascii="楷体_GB2312" w:eastAsia="楷体_GB2312"/>
          <w:kern w:val="0"/>
        </w:rPr>
        <w:t>3.生态效益</w:t>
      </w:r>
      <w:bookmarkEnd w:id="152"/>
      <w:bookmarkEnd w:id="153"/>
      <w:bookmarkEnd w:id="154"/>
    </w:p>
    <w:p>
      <w:pPr>
        <w:adjustRightInd w:val="0"/>
        <w:snapToGrid w:val="0"/>
        <w:spacing w:line="600" w:lineRule="exact"/>
        <w:ind w:firstLine="640" w:firstLineChars="200"/>
        <w:rPr>
          <w:rFonts w:ascii="仿宋_GB2312" w:hAnsi="Times New Roman" w:eastAsia="仿宋_GB2312"/>
          <w:color w:val="000000" w:themeColor="text1"/>
          <w:sz w:val="32"/>
          <w:szCs w:val="32"/>
        </w:rPr>
      </w:pPr>
      <w:bookmarkStart w:id="155" w:name="_Toc62061291"/>
      <w:bookmarkStart w:id="156" w:name="_Toc61179749"/>
      <w:r>
        <w:rPr>
          <w:rFonts w:hint="eastAsia" w:ascii="仿宋_GB2312" w:hAnsi="Times New Roman" w:eastAsia="仿宋_GB2312"/>
          <w:color w:val="000000" w:themeColor="text1"/>
          <w:sz w:val="32"/>
          <w:szCs w:val="32"/>
        </w:rPr>
        <w:t>实施</w:t>
      </w:r>
      <w:r>
        <w:rPr>
          <w:rFonts w:hint="eastAsia" w:ascii="仿宋_GB2312" w:hAnsi="仿宋_GB2312" w:eastAsia="仿宋_GB2312" w:cs="仿宋_GB2312"/>
          <w:color w:val="000000" w:themeColor="text1"/>
          <w:sz w:val="32"/>
          <w:szCs w:val="32"/>
        </w:rPr>
        <w:t>本批次成片开发，将依法依规，科学设计，有序</w:t>
      </w:r>
      <w:r>
        <w:rPr>
          <w:rFonts w:hint="eastAsia" w:ascii="仿宋_GB2312" w:hAnsi="Times New Roman" w:eastAsia="仿宋_GB2312"/>
          <w:color w:val="000000" w:themeColor="text1"/>
          <w:sz w:val="32"/>
          <w:szCs w:val="32"/>
        </w:rPr>
        <w:t>对土地进行成片综合开发，建设完善市政道路、配套完善的市政</w:t>
      </w:r>
      <w:bookmarkStart w:id="157" w:name="_Hlk64197279"/>
      <w:r>
        <w:rPr>
          <w:rFonts w:hint="eastAsia" w:ascii="仿宋_GB2312" w:hAnsi="Times New Roman" w:eastAsia="仿宋_GB2312"/>
          <w:color w:val="000000" w:themeColor="text1"/>
          <w:sz w:val="32"/>
          <w:szCs w:val="32"/>
        </w:rPr>
        <w:t>给、排水、</w:t>
      </w:r>
      <w:bookmarkEnd w:id="157"/>
      <w:r>
        <w:rPr>
          <w:rFonts w:hint="eastAsia" w:ascii="仿宋_GB2312" w:hAnsi="Times New Roman" w:eastAsia="仿宋_GB2312"/>
          <w:color w:val="000000" w:themeColor="text1"/>
          <w:sz w:val="32"/>
          <w:szCs w:val="32"/>
        </w:rPr>
        <w:t>排污设施工程，配套建设必要</w:t>
      </w:r>
      <w:r>
        <w:rPr>
          <w:rFonts w:hint="eastAsia" w:ascii="仿宋_GB2312" w:hAnsi="微软雅黑" w:eastAsia="仿宋_GB2312" w:cs="微软雅黑"/>
          <w:color w:val="000000" w:themeColor="text1"/>
          <w:sz w:val="32"/>
          <w:szCs w:val="32"/>
        </w:rPr>
        <w:t>绿化带，有效解决片区</w:t>
      </w:r>
      <w:r>
        <w:rPr>
          <w:rFonts w:hint="eastAsia" w:ascii="仿宋_GB2312" w:hAnsi="Times New Roman" w:eastAsia="仿宋_GB2312"/>
          <w:color w:val="000000" w:themeColor="text1"/>
          <w:sz w:val="32"/>
          <w:szCs w:val="32"/>
        </w:rPr>
        <w:t>给、排水、</w:t>
      </w:r>
      <w:r>
        <w:rPr>
          <w:rFonts w:hint="eastAsia" w:ascii="仿宋_GB2312" w:hAnsi="微软雅黑" w:eastAsia="仿宋_GB2312" w:cs="微软雅黑"/>
          <w:color w:val="000000" w:themeColor="text1"/>
          <w:sz w:val="32"/>
          <w:szCs w:val="32"/>
        </w:rPr>
        <w:t>污水处理问题，</w:t>
      </w:r>
      <w:r>
        <w:rPr>
          <w:rFonts w:hint="eastAsia" w:ascii="仿宋_GB2312" w:hAnsi="Times New Roman" w:eastAsia="仿宋_GB2312"/>
          <w:color w:val="000000" w:themeColor="text1"/>
          <w:sz w:val="32"/>
          <w:szCs w:val="32"/>
        </w:rPr>
        <w:t>控制片区</w:t>
      </w:r>
      <w:r>
        <w:rPr>
          <w:rFonts w:hint="eastAsia" w:ascii="仿宋_GB2312" w:hAnsi="微软雅黑" w:eastAsia="仿宋_GB2312" w:cs="微软雅黑"/>
          <w:color w:val="000000" w:themeColor="text1"/>
          <w:sz w:val="32"/>
          <w:szCs w:val="32"/>
        </w:rPr>
        <w:t>自然地表水土流失，提高片区抗自然灾害能力，美化片区生产生活环</w:t>
      </w:r>
      <w:r>
        <w:rPr>
          <w:rFonts w:hint="eastAsia" w:ascii="仿宋_GB2312" w:hAnsi="仿宋_GB2312" w:eastAsia="仿宋_GB2312" w:cs="仿宋_GB2312"/>
          <w:color w:val="000000" w:themeColor="text1"/>
          <w:sz w:val="32"/>
          <w:szCs w:val="32"/>
        </w:rPr>
        <w:t>境，将营造片区更加适宜生产生活的美好生态</w:t>
      </w:r>
      <w:r>
        <w:rPr>
          <w:rFonts w:hint="eastAsia" w:ascii="仿宋_GB2312" w:hAnsi="微软雅黑" w:eastAsia="仿宋_GB2312" w:cs="微软雅黑"/>
          <w:color w:val="000000" w:themeColor="text1"/>
          <w:sz w:val="32"/>
          <w:szCs w:val="32"/>
        </w:rPr>
        <w:t>环</w:t>
      </w:r>
      <w:r>
        <w:rPr>
          <w:rFonts w:hint="eastAsia" w:ascii="仿宋_GB2312" w:hAnsi="仿宋_GB2312" w:eastAsia="仿宋_GB2312" w:cs="仿宋_GB2312"/>
          <w:color w:val="000000" w:themeColor="text1"/>
          <w:sz w:val="32"/>
          <w:szCs w:val="32"/>
        </w:rPr>
        <w:t>境，促进片区生态环境良性</w:t>
      </w:r>
      <w:r>
        <w:rPr>
          <w:rFonts w:hint="eastAsia" w:ascii="仿宋_GB2312" w:hAnsi="微软雅黑" w:eastAsia="仿宋_GB2312" w:cs="微软雅黑"/>
          <w:color w:val="000000" w:themeColor="text1"/>
          <w:sz w:val="32"/>
          <w:szCs w:val="32"/>
        </w:rPr>
        <w:t>循环，</w:t>
      </w:r>
      <w:r>
        <w:rPr>
          <w:rFonts w:hint="eastAsia" w:ascii="仿宋_GB2312" w:hAnsi="仿宋_GB2312" w:eastAsia="仿宋_GB2312" w:cs="仿宋_GB2312"/>
          <w:color w:val="000000" w:themeColor="text1"/>
          <w:sz w:val="32"/>
          <w:szCs w:val="32"/>
        </w:rPr>
        <w:t>不会</w:t>
      </w:r>
      <w:r>
        <w:rPr>
          <w:rFonts w:hint="eastAsia" w:ascii="仿宋_GB2312" w:hAnsi="Segoe UI" w:eastAsia="仿宋_GB2312" w:cs="Segoe UI"/>
          <w:color w:val="000000" w:themeColor="text1"/>
          <w:sz w:val="32"/>
          <w:szCs w:val="32"/>
          <w:shd w:val="clear" w:color="auto" w:fill="FFFFFF"/>
        </w:rPr>
        <w:t>使自然界的生物系统因片区成片开发造成较大影响</w:t>
      </w:r>
      <w:r>
        <w:rPr>
          <w:rFonts w:hint="eastAsia" w:ascii="仿宋_GB2312" w:hAnsi="仿宋_GB2312" w:eastAsia="仿宋_GB2312" w:cs="仿宋_GB2312"/>
          <w:color w:val="000000" w:themeColor="text1"/>
          <w:sz w:val="32"/>
          <w:szCs w:val="32"/>
        </w:rPr>
        <w:t>。</w:t>
      </w:r>
    </w:p>
    <w:p>
      <w:pPr>
        <w:pStyle w:val="2"/>
        <w:spacing w:before="0" w:after="0" w:line="600" w:lineRule="exact"/>
        <w:ind w:firstLine="643" w:firstLineChars="200"/>
        <w:rPr>
          <w:sz w:val="32"/>
          <w:szCs w:val="32"/>
        </w:rPr>
      </w:pPr>
      <w:bookmarkStart w:id="158" w:name="_Toc64626925"/>
      <w:bookmarkStart w:id="159" w:name="_Toc29878"/>
      <w:bookmarkStart w:id="160" w:name="_Toc64626480"/>
      <w:bookmarkStart w:id="161" w:name="_Toc6051"/>
      <w:bookmarkStart w:id="162" w:name="_Toc64641628"/>
      <w:r>
        <w:rPr>
          <w:rFonts w:hint="eastAsia"/>
          <w:sz w:val="32"/>
          <w:szCs w:val="32"/>
        </w:rPr>
        <w:t>九、征求意见情况</w:t>
      </w:r>
      <w:bookmarkEnd w:id="155"/>
      <w:bookmarkEnd w:id="156"/>
      <w:bookmarkEnd w:id="158"/>
      <w:bookmarkEnd w:id="159"/>
      <w:bookmarkEnd w:id="160"/>
      <w:bookmarkEnd w:id="161"/>
      <w:bookmarkEnd w:id="162"/>
    </w:p>
    <w:p>
      <w:pPr>
        <w:pStyle w:val="4"/>
        <w:spacing w:before="0" w:after="0" w:line="600" w:lineRule="exact"/>
        <w:ind w:firstLine="643" w:firstLineChars="200"/>
        <w:rPr>
          <w:rFonts w:ascii="楷体_GB2312" w:eastAsia="楷体_GB2312"/>
          <w:kern w:val="0"/>
        </w:rPr>
      </w:pPr>
      <w:bookmarkStart w:id="163" w:name="_Toc61179750"/>
      <w:bookmarkStart w:id="164" w:name="_Toc64626481"/>
      <w:bookmarkStart w:id="165" w:name="_Toc64626926"/>
      <w:bookmarkStart w:id="166" w:name="_Toc64641629"/>
      <w:r>
        <w:rPr>
          <w:rFonts w:hint="eastAsia" w:ascii="楷体_GB2312" w:eastAsia="楷体_GB2312"/>
          <w:kern w:val="0"/>
        </w:rPr>
        <w:t>1.征求集体经济组织和村民意见</w:t>
      </w:r>
      <w:bookmarkEnd w:id="163"/>
      <w:bookmarkEnd w:id="164"/>
      <w:bookmarkEnd w:id="165"/>
      <w:bookmarkEnd w:id="166"/>
    </w:p>
    <w:p>
      <w:pPr>
        <w:adjustRightInd w:val="0"/>
        <w:snapToGrid w:val="0"/>
        <w:spacing w:line="600" w:lineRule="exact"/>
        <w:ind w:firstLine="640" w:firstLineChars="200"/>
        <w:rPr>
          <w:rFonts w:hint="eastAsia" w:ascii="仿宋_GB2312" w:hAnsi="Times New Roman" w:eastAsia="仿宋_GB2312"/>
          <w:sz w:val="32"/>
          <w:szCs w:val="32"/>
          <w:lang w:val="en-US" w:eastAsia="zh-CN"/>
        </w:rPr>
      </w:pPr>
      <w:bookmarkStart w:id="167" w:name="_Hlk64541007"/>
      <w:r>
        <w:rPr>
          <w:rFonts w:hint="eastAsia" w:ascii="仿宋_GB2312" w:hAnsi="Times New Roman" w:eastAsia="仿宋_GB2312"/>
          <w:sz w:val="32"/>
          <w:szCs w:val="32"/>
        </w:rPr>
        <w:t>本方案</w:t>
      </w:r>
      <w:bookmarkEnd w:id="167"/>
      <w:r>
        <w:rPr>
          <w:rFonts w:hint="eastAsia" w:ascii="仿宋_GB2312" w:hAnsi="Times New Roman" w:eastAsia="仿宋_GB2312"/>
          <w:sz w:val="32"/>
          <w:szCs w:val="32"/>
        </w:rPr>
        <w:t>已征求成片开发范围涉及的洛江区河市镇溪山村、蛟南村、河市村等3个集体经济组织的意见，同意本方案。</w:t>
      </w:r>
      <w:bookmarkStart w:id="168" w:name="_Toc61179751"/>
      <w:r>
        <w:rPr>
          <w:rFonts w:hint="eastAsia" w:ascii="仿宋_GB2312" w:hAnsi="Times New Roman" w:eastAsia="仿宋_GB2312"/>
          <w:sz w:val="32"/>
          <w:szCs w:val="32"/>
        </w:rPr>
        <w:t>本方案在洛江区政府</w:t>
      </w:r>
      <w:r>
        <w:rPr>
          <w:rFonts w:hint="eastAsia" w:ascii="仿宋_GB2312" w:hAnsi="Times New Roman" w:eastAsia="仿宋_GB2312" w:cs="仿宋_GB2312"/>
          <w:kern w:val="0"/>
          <w:sz w:val="32"/>
          <w:szCs w:val="32"/>
        </w:rPr>
        <w:t>信息网站上公示和在成片开发范围内所在村公告栏公示后，</w:t>
      </w:r>
      <w:r>
        <w:rPr>
          <w:rFonts w:hint="eastAsia" w:ascii="仿宋_GB2312" w:hAnsi="Times New Roman" w:eastAsia="仿宋_GB2312"/>
          <w:sz w:val="32"/>
          <w:szCs w:val="32"/>
        </w:rPr>
        <w:t>河市镇溪山村、蛟南村、河市村应</w:t>
      </w:r>
      <w:r>
        <w:rPr>
          <w:rFonts w:hint="eastAsia" w:ascii="仿宋_GB2312" w:hAnsi="Times New Roman" w:eastAsia="仿宋_GB2312" w:cs="仿宋_GB2312"/>
          <w:kern w:val="0"/>
          <w:sz w:val="32"/>
          <w:szCs w:val="32"/>
        </w:rPr>
        <w:t>召开村民会议或者村民代表会议，充分征求村集体经济组织成员或者村民代表意见</w:t>
      </w:r>
      <w:r>
        <w:rPr>
          <w:rFonts w:hint="eastAsia" w:ascii="仿宋_GB2312" w:hAnsi="Times New Roman" w:eastAsia="仿宋_GB2312" w:cs="仿宋_GB2312"/>
          <w:kern w:val="0"/>
          <w:sz w:val="32"/>
          <w:szCs w:val="32"/>
          <w:lang w:eastAsia="zh-CN"/>
        </w:rPr>
        <w:t>。</w:t>
      </w:r>
      <w:bookmarkStart w:id="205" w:name="_GoBack"/>
      <w:bookmarkEnd w:id="205"/>
    </w:p>
    <w:p>
      <w:pPr>
        <w:pStyle w:val="4"/>
        <w:spacing w:before="0" w:after="0" w:line="600" w:lineRule="exact"/>
        <w:ind w:firstLine="643" w:firstLineChars="200"/>
        <w:rPr>
          <w:rFonts w:ascii="楷体_GB2312" w:eastAsia="楷体_GB2312"/>
          <w:kern w:val="0"/>
        </w:rPr>
      </w:pPr>
      <w:bookmarkStart w:id="169" w:name="_Toc64641630"/>
      <w:bookmarkStart w:id="170" w:name="_Toc64626927"/>
      <w:bookmarkStart w:id="171" w:name="_Toc64626482"/>
      <w:r>
        <w:rPr>
          <w:rFonts w:hint="eastAsia" w:ascii="楷体_GB2312" w:eastAsia="楷体_GB2312"/>
          <w:kern w:val="0"/>
        </w:rPr>
        <w:t>2.听取人大代表、政协委员、社会公众和有关专家学者意见</w:t>
      </w:r>
      <w:bookmarkEnd w:id="168"/>
      <w:bookmarkEnd w:id="169"/>
      <w:bookmarkEnd w:id="170"/>
      <w:bookmarkEnd w:id="171"/>
    </w:p>
    <w:p>
      <w:pPr>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20</w:t>
      </w:r>
      <w:r>
        <w:rPr>
          <w:rFonts w:ascii="Times New Roman" w:hAnsi="Times New Roman" w:eastAsia="仿宋_GB2312"/>
          <w:sz w:val="32"/>
          <w:szCs w:val="32"/>
        </w:rPr>
        <w:t>21</w:t>
      </w:r>
      <w:r>
        <w:rPr>
          <w:rFonts w:hint="eastAsia" w:ascii="Times New Roman" w:hAnsi="Times New Roman" w:eastAsia="仿宋_GB2312"/>
          <w:sz w:val="32"/>
          <w:szCs w:val="32"/>
        </w:rPr>
        <w:t>年</w:t>
      </w:r>
      <w:r>
        <w:rPr>
          <w:rFonts w:ascii="Times New Roman" w:hAnsi="Times New Roman" w:eastAsia="仿宋_GB2312"/>
          <w:sz w:val="32"/>
          <w:szCs w:val="32"/>
        </w:rPr>
        <w:t>2</w:t>
      </w:r>
      <w:r>
        <w:rPr>
          <w:rFonts w:hint="eastAsia" w:ascii="Times New Roman" w:hAnsi="Times New Roman" w:eastAsia="仿宋_GB2312"/>
          <w:sz w:val="32"/>
          <w:szCs w:val="32"/>
        </w:rPr>
        <w:t>月</w:t>
      </w:r>
      <w:r>
        <w:rPr>
          <w:rFonts w:ascii="Times New Roman" w:hAnsi="Times New Roman" w:eastAsia="仿宋_GB2312"/>
          <w:sz w:val="32"/>
          <w:szCs w:val="32"/>
        </w:rPr>
        <w:t>19</w:t>
      </w:r>
      <w:r>
        <w:rPr>
          <w:rFonts w:hint="eastAsia" w:ascii="Times New Roman" w:hAnsi="Times New Roman" w:eastAsia="仿宋_GB2312"/>
          <w:sz w:val="32"/>
          <w:szCs w:val="32"/>
        </w:rPr>
        <w:t>日，洛江区政府组织听取了人大代表、政协委员、社会公众和土地、规划、经济、法律、环保、产业等相关专家学者的意见，经充分讨论，同意本方案</w:t>
      </w:r>
      <w:r>
        <w:rPr>
          <w:rFonts w:hint="eastAsia" w:ascii="仿宋_GB2312" w:hAnsi="Times New Roman" w:eastAsia="仿宋_GB2312"/>
          <w:sz w:val="32"/>
          <w:szCs w:val="32"/>
        </w:rPr>
        <w:t>。</w:t>
      </w:r>
    </w:p>
    <w:p>
      <w:pPr>
        <w:pStyle w:val="2"/>
        <w:spacing w:before="0" w:after="0" w:line="600" w:lineRule="exact"/>
        <w:ind w:firstLine="643" w:firstLineChars="200"/>
        <w:rPr>
          <w:sz w:val="32"/>
          <w:szCs w:val="32"/>
        </w:rPr>
      </w:pPr>
      <w:bookmarkStart w:id="172" w:name="_Toc64626483"/>
      <w:bookmarkStart w:id="173" w:name="_Toc61179757"/>
      <w:bookmarkStart w:id="174" w:name="_Toc62061292"/>
      <w:bookmarkStart w:id="175" w:name="_Toc64626928"/>
      <w:bookmarkStart w:id="176" w:name="_Toc7568"/>
      <w:bookmarkStart w:id="177" w:name="_Toc264"/>
      <w:bookmarkStart w:id="178" w:name="_Toc64641631"/>
      <w:r>
        <w:rPr>
          <w:rFonts w:hint="eastAsia"/>
          <w:sz w:val="32"/>
          <w:szCs w:val="32"/>
        </w:rPr>
        <w:t>十、结论</w:t>
      </w:r>
      <w:bookmarkEnd w:id="172"/>
      <w:bookmarkEnd w:id="173"/>
      <w:bookmarkEnd w:id="174"/>
      <w:bookmarkEnd w:id="175"/>
      <w:bookmarkEnd w:id="176"/>
      <w:bookmarkEnd w:id="177"/>
      <w:bookmarkEnd w:id="178"/>
    </w:p>
    <w:p>
      <w:pPr>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本批次土地征收成片开发方案符合国民经济和社会发展规划、</w:t>
      </w:r>
      <w:r>
        <w:rPr>
          <w:rFonts w:hint="eastAsia" w:ascii="仿宋_GB2312" w:hAnsi="Times New Roman" w:eastAsia="仿宋_GB2312" w:cs="仿宋_GB2312"/>
          <w:kern w:val="0"/>
          <w:sz w:val="32"/>
          <w:szCs w:val="32"/>
        </w:rPr>
        <w:t>土地利用总体规划、城乡规划</w:t>
      </w:r>
      <w:r>
        <w:rPr>
          <w:rFonts w:hint="eastAsia" w:ascii="仿宋_GB2312" w:hAnsi="Times New Roman" w:eastAsia="仿宋_GB2312"/>
          <w:sz w:val="32"/>
          <w:szCs w:val="32"/>
        </w:rPr>
        <w:t>、专项规划，已纳入国民经济和社会发展年度计划，符合部省规定的标准，做到了保护耕地、维护农民合法权益、节约集约用地、保护生态环境，能够促进经济社会可持续发展。</w:t>
      </w:r>
    </w:p>
    <w:p>
      <w:pPr>
        <w:adjustRightInd w:val="0"/>
        <w:snapToGrid w:val="0"/>
        <w:spacing w:line="360" w:lineRule="auto"/>
        <w:rPr>
          <w:rFonts w:ascii="仿宋_GB2312" w:eastAsia="仿宋_GB2312"/>
          <w:sz w:val="32"/>
          <w:szCs w:val="32"/>
        </w:rPr>
      </w:pPr>
    </w:p>
    <w:p>
      <w:pPr>
        <w:adjustRightInd w:val="0"/>
        <w:snapToGrid w:val="0"/>
        <w:spacing w:line="360" w:lineRule="auto"/>
        <w:rPr>
          <w:rFonts w:ascii="仿宋_GB2312" w:eastAsia="仿宋_GB2312"/>
          <w:sz w:val="32"/>
          <w:szCs w:val="32"/>
        </w:rPr>
      </w:pPr>
    </w:p>
    <w:p>
      <w:pPr>
        <w:adjustRightInd w:val="0"/>
        <w:snapToGrid w:val="0"/>
        <w:spacing w:line="360" w:lineRule="auto"/>
        <w:rPr>
          <w:rFonts w:ascii="仿宋_GB2312" w:eastAsia="仿宋_GB2312"/>
          <w:sz w:val="32"/>
          <w:szCs w:val="32"/>
        </w:rPr>
        <w:sectPr>
          <w:pgSz w:w="11906" w:h="16838"/>
          <w:pgMar w:top="1440" w:right="1800" w:bottom="1440" w:left="1800" w:header="851" w:footer="992" w:gutter="0"/>
          <w:cols w:space="425" w:num="1"/>
          <w:docGrid w:type="lines" w:linePitch="312" w:charSpace="0"/>
        </w:sectPr>
      </w:pPr>
    </w:p>
    <w:p>
      <w:pPr>
        <w:pStyle w:val="4"/>
        <w:spacing w:before="0" w:after="0" w:line="600" w:lineRule="exact"/>
        <w:ind w:firstLine="643" w:firstLineChars="200"/>
        <w:rPr>
          <w:rFonts w:ascii="楷体_GB2312" w:eastAsia="楷体_GB2312"/>
          <w:kern w:val="0"/>
        </w:rPr>
      </w:pPr>
      <w:bookmarkStart w:id="179" w:name="_Toc26259"/>
      <w:bookmarkStart w:id="180" w:name="_Toc9017"/>
      <w:bookmarkStart w:id="181" w:name="_Toc64641632"/>
      <w:r>
        <w:rPr>
          <w:rFonts w:hint="eastAsia" w:ascii="楷体_GB2312" w:eastAsia="楷体_GB2312"/>
          <w:kern w:val="0"/>
        </w:rPr>
        <w:t>附表1 ：土地利用现状及权属统计表</w:t>
      </w:r>
      <w:bookmarkEnd w:id="179"/>
      <w:bookmarkEnd w:id="180"/>
      <w:bookmarkEnd w:id="181"/>
    </w:p>
    <w:tbl>
      <w:tblPr>
        <w:tblStyle w:val="14"/>
        <w:tblW w:w="12660" w:type="dxa"/>
        <w:tblInd w:w="108" w:type="dxa"/>
        <w:tblLayout w:type="autofit"/>
        <w:tblCellMar>
          <w:top w:w="0" w:type="dxa"/>
          <w:left w:w="108" w:type="dxa"/>
          <w:bottom w:w="0" w:type="dxa"/>
          <w:right w:w="108" w:type="dxa"/>
        </w:tblCellMar>
      </w:tblPr>
      <w:tblGrid>
        <w:gridCol w:w="1660"/>
        <w:gridCol w:w="1911"/>
        <w:gridCol w:w="1309"/>
        <w:gridCol w:w="1540"/>
        <w:gridCol w:w="1360"/>
        <w:gridCol w:w="1780"/>
        <w:gridCol w:w="1440"/>
        <w:gridCol w:w="1660"/>
      </w:tblGrid>
      <w:tr>
        <w:tblPrEx>
          <w:tblCellMar>
            <w:top w:w="0" w:type="dxa"/>
            <w:left w:w="108" w:type="dxa"/>
            <w:bottom w:w="0" w:type="dxa"/>
            <w:right w:w="108" w:type="dxa"/>
          </w:tblCellMar>
        </w:tblPrEx>
        <w:trPr>
          <w:trHeight w:val="480" w:hRule="atLeast"/>
        </w:trPr>
        <w:tc>
          <w:tcPr>
            <w:tcW w:w="16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2"/>
              </w:rPr>
            </w:pPr>
          </w:p>
        </w:tc>
        <w:tc>
          <w:tcPr>
            <w:tcW w:w="1911" w:type="dxa"/>
            <w:tcBorders>
              <w:top w:val="nil"/>
              <w:left w:val="nil"/>
              <w:bottom w:val="nil"/>
              <w:right w:val="nil"/>
            </w:tcBorders>
            <w:shd w:val="clear" w:color="000000" w:fill="FFFFFF"/>
            <w:vAlign w:val="center"/>
          </w:tcPr>
          <w:p>
            <w:pPr>
              <w:widowControl/>
              <w:jc w:val="lef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　</w:t>
            </w:r>
          </w:p>
        </w:tc>
        <w:tc>
          <w:tcPr>
            <w:tcW w:w="1309" w:type="dxa"/>
            <w:tcBorders>
              <w:top w:val="nil"/>
              <w:left w:val="nil"/>
              <w:bottom w:val="nil"/>
              <w:right w:val="nil"/>
            </w:tcBorders>
            <w:shd w:val="clear" w:color="000000" w:fill="FFFFFF"/>
            <w:vAlign w:val="center"/>
          </w:tcPr>
          <w:p>
            <w:pPr>
              <w:widowControl/>
              <w:jc w:val="lef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　</w:t>
            </w:r>
          </w:p>
        </w:tc>
        <w:tc>
          <w:tcPr>
            <w:tcW w:w="1540" w:type="dxa"/>
            <w:tcBorders>
              <w:top w:val="nil"/>
              <w:left w:val="nil"/>
              <w:bottom w:val="nil"/>
              <w:right w:val="nil"/>
            </w:tcBorders>
            <w:shd w:val="clear" w:color="000000" w:fill="FFFFFF"/>
            <w:vAlign w:val="center"/>
          </w:tcPr>
          <w:p>
            <w:pPr>
              <w:widowControl/>
              <w:jc w:val="lef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　</w:t>
            </w:r>
          </w:p>
        </w:tc>
        <w:tc>
          <w:tcPr>
            <w:tcW w:w="1360" w:type="dxa"/>
            <w:tcBorders>
              <w:top w:val="nil"/>
              <w:left w:val="nil"/>
              <w:bottom w:val="nil"/>
              <w:right w:val="nil"/>
            </w:tcBorders>
            <w:shd w:val="clear" w:color="000000" w:fill="FFFFFF"/>
            <w:vAlign w:val="center"/>
          </w:tcPr>
          <w:p>
            <w:pPr>
              <w:widowControl/>
              <w:jc w:val="lef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　</w:t>
            </w:r>
          </w:p>
        </w:tc>
        <w:tc>
          <w:tcPr>
            <w:tcW w:w="1780" w:type="dxa"/>
            <w:tcBorders>
              <w:top w:val="nil"/>
              <w:left w:val="nil"/>
              <w:bottom w:val="nil"/>
              <w:right w:val="nil"/>
            </w:tcBorders>
            <w:shd w:val="clear" w:color="000000" w:fill="FFFFFF"/>
            <w:vAlign w:val="center"/>
          </w:tcPr>
          <w:p>
            <w:pPr>
              <w:widowControl/>
              <w:jc w:val="lef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　</w:t>
            </w:r>
          </w:p>
        </w:tc>
        <w:tc>
          <w:tcPr>
            <w:tcW w:w="3100" w:type="dxa"/>
            <w:gridSpan w:val="2"/>
            <w:tcBorders>
              <w:top w:val="nil"/>
              <w:left w:val="nil"/>
              <w:bottom w:val="single" w:color="auto" w:sz="4" w:space="0"/>
              <w:right w:val="nil"/>
            </w:tcBorders>
            <w:shd w:val="clear" w:color="000000" w:fill="FFFFFF"/>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单位：公顷</w:t>
            </w:r>
          </w:p>
        </w:tc>
      </w:tr>
      <w:tr>
        <w:tblPrEx>
          <w:tblCellMar>
            <w:top w:w="0" w:type="dxa"/>
            <w:left w:w="108" w:type="dxa"/>
            <w:bottom w:w="0" w:type="dxa"/>
            <w:right w:w="108" w:type="dxa"/>
          </w:tblCellMar>
        </w:tblPrEx>
        <w:trPr>
          <w:trHeight w:val="585" w:hRule="atLeast"/>
        </w:trPr>
        <w:tc>
          <w:tcPr>
            <w:tcW w:w="16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kern w:val="0"/>
                <w:sz w:val="28"/>
                <w:szCs w:val="28"/>
              </w:rPr>
            </w:pPr>
            <w:r>
              <w:rPr>
                <w:rFonts w:hint="eastAsia" w:ascii="仿宋" w:hAnsi="仿宋" w:eastAsia="仿宋" w:cs="仿宋"/>
                <w:b/>
                <w:bCs/>
                <w:color w:val="000000"/>
                <w:kern w:val="0"/>
                <w:sz w:val="28"/>
                <w:szCs w:val="28"/>
              </w:rPr>
              <w:t>用地方式</w:t>
            </w:r>
          </w:p>
        </w:tc>
        <w:tc>
          <w:tcPr>
            <w:tcW w:w="32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kern w:val="0"/>
                <w:sz w:val="28"/>
                <w:szCs w:val="28"/>
              </w:rPr>
            </w:pPr>
            <w:r>
              <w:rPr>
                <w:rFonts w:hint="eastAsia" w:ascii="仿宋" w:hAnsi="仿宋" w:eastAsia="仿宋" w:cs="仿宋"/>
                <w:b/>
                <w:bCs/>
                <w:color w:val="000000"/>
                <w:kern w:val="0"/>
                <w:sz w:val="28"/>
                <w:szCs w:val="28"/>
              </w:rPr>
              <w:t>权属单位</w:t>
            </w:r>
          </w:p>
        </w:tc>
        <w:tc>
          <w:tcPr>
            <w:tcW w:w="15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kern w:val="0"/>
                <w:sz w:val="28"/>
                <w:szCs w:val="28"/>
              </w:rPr>
            </w:pPr>
            <w:r>
              <w:rPr>
                <w:rFonts w:hint="eastAsia" w:ascii="仿宋" w:hAnsi="仿宋" w:eastAsia="仿宋" w:cs="仿宋"/>
                <w:b/>
                <w:bCs/>
                <w:color w:val="000000"/>
                <w:kern w:val="0"/>
                <w:sz w:val="28"/>
                <w:szCs w:val="28"/>
              </w:rPr>
              <w:t>面积总计</w:t>
            </w:r>
          </w:p>
        </w:tc>
        <w:tc>
          <w:tcPr>
            <w:tcW w:w="314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kern w:val="0"/>
                <w:sz w:val="28"/>
                <w:szCs w:val="28"/>
              </w:rPr>
            </w:pPr>
            <w:r>
              <w:rPr>
                <w:rFonts w:hint="eastAsia" w:ascii="仿宋" w:hAnsi="仿宋" w:eastAsia="仿宋" w:cs="仿宋"/>
                <w:b/>
                <w:bCs/>
                <w:color w:val="000000"/>
                <w:kern w:val="0"/>
                <w:sz w:val="28"/>
                <w:szCs w:val="28"/>
              </w:rPr>
              <w:t>农用地</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kern w:val="0"/>
                <w:sz w:val="28"/>
                <w:szCs w:val="28"/>
              </w:rPr>
            </w:pPr>
            <w:r>
              <w:rPr>
                <w:rFonts w:hint="eastAsia" w:ascii="仿宋" w:hAnsi="仿宋" w:eastAsia="仿宋" w:cs="仿宋"/>
                <w:b/>
                <w:bCs/>
                <w:color w:val="000000"/>
                <w:kern w:val="0"/>
                <w:sz w:val="28"/>
                <w:szCs w:val="28"/>
              </w:rPr>
              <w:t>建设用地</w:t>
            </w:r>
          </w:p>
        </w:tc>
        <w:tc>
          <w:tcPr>
            <w:tcW w:w="166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kern w:val="0"/>
                <w:sz w:val="28"/>
                <w:szCs w:val="28"/>
              </w:rPr>
            </w:pPr>
            <w:r>
              <w:rPr>
                <w:rFonts w:hint="eastAsia" w:ascii="仿宋" w:hAnsi="仿宋" w:eastAsia="仿宋" w:cs="仿宋"/>
                <w:b/>
                <w:bCs/>
                <w:color w:val="000000"/>
                <w:kern w:val="0"/>
                <w:sz w:val="28"/>
                <w:szCs w:val="28"/>
              </w:rPr>
              <w:t>未利用地</w:t>
            </w:r>
          </w:p>
        </w:tc>
      </w:tr>
      <w:tr>
        <w:tblPrEx>
          <w:tblCellMar>
            <w:top w:w="0" w:type="dxa"/>
            <w:left w:w="108" w:type="dxa"/>
            <w:bottom w:w="0" w:type="dxa"/>
            <w:right w:w="108" w:type="dxa"/>
          </w:tblCellMar>
        </w:tblPrEx>
        <w:trPr>
          <w:trHeight w:val="975" w:hRule="atLeast"/>
        </w:trPr>
        <w:tc>
          <w:tcPr>
            <w:tcW w:w="16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8"/>
                <w:szCs w:val="28"/>
              </w:rPr>
            </w:pP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kern w:val="0"/>
                <w:sz w:val="28"/>
                <w:szCs w:val="28"/>
              </w:rPr>
            </w:pPr>
            <w:r>
              <w:rPr>
                <w:rFonts w:hint="eastAsia" w:ascii="仿宋" w:hAnsi="仿宋" w:eastAsia="仿宋" w:cs="仿宋"/>
                <w:b/>
                <w:bCs/>
                <w:color w:val="000000"/>
                <w:kern w:val="0"/>
                <w:sz w:val="28"/>
                <w:szCs w:val="28"/>
              </w:rPr>
              <w:t>乡（镇）</w:t>
            </w:r>
          </w:p>
        </w:tc>
        <w:tc>
          <w:tcPr>
            <w:tcW w:w="13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kern w:val="0"/>
                <w:sz w:val="28"/>
                <w:szCs w:val="28"/>
              </w:rPr>
            </w:pPr>
            <w:r>
              <w:rPr>
                <w:rFonts w:hint="eastAsia" w:ascii="仿宋" w:hAnsi="仿宋" w:eastAsia="仿宋" w:cs="仿宋"/>
                <w:b/>
                <w:bCs/>
                <w:color w:val="000000"/>
                <w:kern w:val="0"/>
                <w:sz w:val="28"/>
                <w:szCs w:val="28"/>
              </w:rPr>
              <w:t>村（组）</w:t>
            </w:r>
          </w:p>
        </w:tc>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8"/>
                <w:szCs w:val="28"/>
              </w:rPr>
            </w:pP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kern w:val="0"/>
                <w:sz w:val="28"/>
                <w:szCs w:val="28"/>
              </w:rPr>
            </w:pPr>
            <w:r>
              <w:rPr>
                <w:rFonts w:hint="eastAsia" w:ascii="仿宋" w:hAnsi="仿宋" w:eastAsia="仿宋" w:cs="仿宋"/>
                <w:b/>
                <w:bCs/>
                <w:color w:val="000000"/>
                <w:kern w:val="0"/>
                <w:sz w:val="28"/>
                <w:szCs w:val="28"/>
              </w:rPr>
              <w:t>合计</w:t>
            </w:r>
          </w:p>
        </w:tc>
        <w:tc>
          <w:tcPr>
            <w:tcW w:w="178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kern w:val="0"/>
                <w:sz w:val="28"/>
                <w:szCs w:val="28"/>
              </w:rPr>
            </w:pPr>
            <w:r>
              <w:rPr>
                <w:rFonts w:hint="eastAsia" w:ascii="仿宋" w:hAnsi="仿宋" w:eastAsia="仿宋" w:cs="仿宋"/>
                <w:b/>
                <w:bCs/>
                <w:color w:val="000000"/>
                <w:kern w:val="0"/>
                <w:sz w:val="28"/>
                <w:szCs w:val="28"/>
              </w:rPr>
              <w:t>其中：耕地</w:t>
            </w: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8"/>
                <w:szCs w:val="28"/>
              </w:rPr>
            </w:pPr>
          </w:p>
        </w:tc>
        <w:tc>
          <w:tcPr>
            <w:tcW w:w="16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8"/>
                <w:szCs w:val="28"/>
              </w:rPr>
            </w:pPr>
          </w:p>
        </w:tc>
      </w:tr>
      <w:tr>
        <w:tblPrEx>
          <w:tblCellMar>
            <w:top w:w="0" w:type="dxa"/>
            <w:left w:w="108" w:type="dxa"/>
            <w:bottom w:w="0" w:type="dxa"/>
            <w:right w:w="108" w:type="dxa"/>
          </w:tblCellMar>
        </w:tblPrEx>
        <w:trPr>
          <w:trHeight w:val="660" w:hRule="atLeast"/>
        </w:trPr>
        <w:tc>
          <w:tcPr>
            <w:tcW w:w="16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征收集体土地</w:t>
            </w:r>
          </w:p>
        </w:tc>
        <w:tc>
          <w:tcPr>
            <w:tcW w:w="191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洛江区河市镇</w:t>
            </w:r>
          </w:p>
        </w:tc>
        <w:tc>
          <w:tcPr>
            <w:tcW w:w="1309"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溪山村</w:t>
            </w:r>
          </w:p>
        </w:tc>
        <w:tc>
          <w:tcPr>
            <w:tcW w:w="1540"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23.2911</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18.5655</w:t>
            </w:r>
          </w:p>
        </w:tc>
        <w:tc>
          <w:tcPr>
            <w:tcW w:w="1780"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17.4348</w:t>
            </w:r>
          </w:p>
        </w:tc>
        <w:tc>
          <w:tcPr>
            <w:tcW w:w="1440"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4.6133</w:t>
            </w:r>
          </w:p>
        </w:tc>
        <w:tc>
          <w:tcPr>
            <w:tcW w:w="1660"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0.1123</w:t>
            </w:r>
          </w:p>
        </w:tc>
      </w:tr>
      <w:tr>
        <w:tblPrEx>
          <w:tblCellMar>
            <w:top w:w="0" w:type="dxa"/>
            <w:left w:w="108" w:type="dxa"/>
            <w:bottom w:w="0" w:type="dxa"/>
            <w:right w:w="108" w:type="dxa"/>
          </w:tblCellMar>
        </w:tblPrEx>
        <w:trPr>
          <w:trHeight w:val="870" w:hRule="atLeast"/>
        </w:trPr>
        <w:tc>
          <w:tcPr>
            <w:tcW w:w="16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仿宋"/>
                <w:color w:val="000000"/>
                <w:kern w:val="0"/>
                <w:sz w:val="28"/>
                <w:szCs w:val="28"/>
              </w:rPr>
            </w:pPr>
          </w:p>
        </w:tc>
        <w:tc>
          <w:tcPr>
            <w:tcW w:w="191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洛江区河市镇</w:t>
            </w:r>
          </w:p>
        </w:tc>
        <w:tc>
          <w:tcPr>
            <w:tcW w:w="1309"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蛟南村</w:t>
            </w:r>
          </w:p>
        </w:tc>
        <w:tc>
          <w:tcPr>
            <w:tcW w:w="1540"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3.6251</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3.519</w:t>
            </w:r>
          </w:p>
        </w:tc>
        <w:tc>
          <w:tcPr>
            <w:tcW w:w="1780"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2.7818</w:t>
            </w:r>
          </w:p>
        </w:tc>
        <w:tc>
          <w:tcPr>
            <w:tcW w:w="1440"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0.0411</w:t>
            </w:r>
          </w:p>
        </w:tc>
        <w:tc>
          <w:tcPr>
            <w:tcW w:w="1660"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0.065</w:t>
            </w:r>
          </w:p>
        </w:tc>
      </w:tr>
      <w:tr>
        <w:tblPrEx>
          <w:tblCellMar>
            <w:top w:w="0" w:type="dxa"/>
            <w:left w:w="108" w:type="dxa"/>
            <w:bottom w:w="0" w:type="dxa"/>
            <w:right w:w="108" w:type="dxa"/>
          </w:tblCellMar>
        </w:tblPrEx>
        <w:trPr>
          <w:trHeight w:val="870" w:hRule="atLeast"/>
        </w:trPr>
        <w:tc>
          <w:tcPr>
            <w:tcW w:w="16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仿宋"/>
                <w:color w:val="000000"/>
                <w:kern w:val="0"/>
                <w:sz w:val="28"/>
                <w:szCs w:val="28"/>
              </w:rPr>
            </w:pPr>
          </w:p>
        </w:tc>
        <w:tc>
          <w:tcPr>
            <w:tcW w:w="191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洛江区河市镇</w:t>
            </w:r>
          </w:p>
        </w:tc>
        <w:tc>
          <w:tcPr>
            <w:tcW w:w="1309"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河市村</w:t>
            </w:r>
          </w:p>
        </w:tc>
        <w:tc>
          <w:tcPr>
            <w:tcW w:w="1540"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0.2709</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0.2709</w:t>
            </w:r>
          </w:p>
        </w:tc>
        <w:tc>
          <w:tcPr>
            <w:tcW w:w="1780"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0.1639</w:t>
            </w:r>
          </w:p>
        </w:tc>
        <w:tc>
          <w:tcPr>
            <w:tcW w:w="1440"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　</w:t>
            </w:r>
          </w:p>
        </w:tc>
        <w:tc>
          <w:tcPr>
            <w:tcW w:w="1660"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　</w:t>
            </w:r>
          </w:p>
        </w:tc>
      </w:tr>
      <w:tr>
        <w:tblPrEx>
          <w:tblCellMar>
            <w:top w:w="0" w:type="dxa"/>
            <w:left w:w="108" w:type="dxa"/>
            <w:bottom w:w="0" w:type="dxa"/>
            <w:right w:w="108" w:type="dxa"/>
          </w:tblCellMar>
        </w:tblPrEx>
        <w:trPr>
          <w:trHeight w:val="675" w:hRule="atLeast"/>
        </w:trPr>
        <w:tc>
          <w:tcPr>
            <w:tcW w:w="4880" w:type="dxa"/>
            <w:gridSpan w:val="3"/>
            <w:tcBorders>
              <w:top w:val="single" w:color="auto" w:sz="4" w:space="0"/>
              <w:left w:val="single" w:color="auto" w:sz="4" w:space="0"/>
              <w:bottom w:val="single" w:color="auto" w:sz="4" w:space="0"/>
              <w:right w:val="single" w:color="000000"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征收集体土地小计</w:t>
            </w:r>
          </w:p>
        </w:tc>
        <w:tc>
          <w:tcPr>
            <w:tcW w:w="1540"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27.1871</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22.3554</w:t>
            </w:r>
          </w:p>
        </w:tc>
        <w:tc>
          <w:tcPr>
            <w:tcW w:w="1780"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20.3805</w:t>
            </w:r>
          </w:p>
        </w:tc>
        <w:tc>
          <w:tcPr>
            <w:tcW w:w="1440"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4.6544</w:t>
            </w:r>
          </w:p>
        </w:tc>
        <w:tc>
          <w:tcPr>
            <w:tcW w:w="1660"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0.1773</w:t>
            </w:r>
          </w:p>
        </w:tc>
      </w:tr>
      <w:tr>
        <w:tblPrEx>
          <w:tblCellMar>
            <w:top w:w="0" w:type="dxa"/>
            <w:left w:w="108" w:type="dxa"/>
            <w:bottom w:w="0" w:type="dxa"/>
            <w:right w:w="108" w:type="dxa"/>
          </w:tblCellMar>
        </w:tblPrEx>
        <w:trPr>
          <w:trHeight w:val="720" w:hRule="atLeast"/>
        </w:trPr>
        <w:tc>
          <w:tcPr>
            <w:tcW w:w="4880" w:type="dxa"/>
            <w:gridSpan w:val="3"/>
            <w:tcBorders>
              <w:top w:val="single" w:color="auto" w:sz="4" w:space="0"/>
              <w:left w:val="single" w:color="auto" w:sz="4" w:space="0"/>
              <w:bottom w:val="single" w:color="auto" w:sz="4" w:space="0"/>
              <w:right w:val="single" w:color="000000"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使用国有土地小计</w:t>
            </w:r>
          </w:p>
        </w:tc>
        <w:tc>
          <w:tcPr>
            <w:tcW w:w="1540"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15.5798</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0.0307</w:t>
            </w:r>
          </w:p>
        </w:tc>
        <w:tc>
          <w:tcPr>
            <w:tcW w:w="1780"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0.0271</w:t>
            </w:r>
          </w:p>
        </w:tc>
        <w:tc>
          <w:tcPr>
            <w:tcW w:w="1440"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15.5484</w:t>
            </w:r>
          </w:p>
        </w:tc>
        <w:tc>
          <w:tcPr>
            <w:tcW w:w="1660"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0.0007</w:t>
            </w:r>
          </w:p>
        </w:tc>
      </w:tr>
      <w:tr>
        <w:tblPrEx>
          <w:tblCellMar>
            <w:top w:w="0" w:type="dxa"/>
            <w:left w:w="108" w:type="dxa"/>
            <w:bottom w:w="0" w:type="dxa"/>
            <w:right w:w="108" w:type="dxa"/>
          </w:tblCellMar>
        </w:tblPrEx>
        <w:trPr>
          <w:trHeight w:val="810" w:hRule="atLeast"/>
        </w:trPr>
        <w:tc>
          <w:tcPr>
            <w:tcW w:w="4880" w:type="dxa"/>
            <w:gridSpan w:val="3"/>
            <w:tcBorders>
              <w:top w:val="single" w:color="auto" w:sz="4" w:space="0"/>
              <w:left w:val="single" w:color="auto" w:sz="4" w:space="0"/>
              <w:bottom w:val="single" w:color="auto" w:sz="4" w:space="0"/>
              <w:right w:val="single" w:color="000000"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总计</w:t>
            </w:r>
          </w:p>
        </w:tc>
        <w:tc>
          <w:tcPr>
            <w:tcW w:w="1540"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42.7669</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22.3861</w:t>
            </w:r>
          </w:p>
        </w:tc>
        <w:tc>
          <w:tcPr>
            <w:tcW w:w="1780"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20.4076</w:t>
            </w:r>
          </w:p>
        </w:tc>
        <w:tc>
          <w:tcPr>
            <w:tcW w:w="1440"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20.2028</w:t>
            </w:r>
          </w:p>
        </w:tc>
        <w:tc>
          <w:tcPr>
            <w:tcW w:w="1660"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0.178</w:t>
            </w:r>
          </w:p>
        </w:tc>
      </w:tr>
    </w:tbl>
    <w:p>
      <w:pPr>
        <w:pStyle w:val="4"/>
        <w:spacing w:before="0" w:after="0" w:line="600" w:lineRule="exact"/>
        <w:ind w:firstLine="643" w:firstLineChars="200"/>
        <w:rPr>
          <w:rFonts w:ascii="楷体_GB2312" w:eastAsia="楷体_GB2312"/>
          <w:kern w:val="0"/>
        </w:rPr>
      </w:pPr>
      <w:bookmarkStart w:id="182" w:name="_Toc64641633"/>
      <w:bookmarkStart w:id="183" w:name="_Toc7618"/>
      <w:bookmarkStart w:id="184" w:name="_Toc3895"/>
      <w:r>
        <w:rPr>
          <w:rFonts w:hint="eastAsia" w:ascii="楷体_GB2312" w:eastAsia="楷体_GB2312"/>
          <w:kern w:val="0"/>
        </w:rPr>
        <w:t>附表2 ：地块用途、面积及实现功能统计表</w:t>
      </w:r>
      <w:bookmarkEnd w:id="182"/>
      <w:bookmarkEnd w:id="183"/>
      <w:bookmarkEnd w:id="184"/>
    </w:p>
    <w:tbl>
      <w:tblPr>
        <w:tblStyle w:val="14"/>
        <w:tblW w:w="14059" w:type="dxa"/>
        <w:tblInd w:w="83" w:type="dxa"/>
        <w:tblLayout w:type="autofit"/>
        <w:tblCellMar>
          <w:top w:w="0" w:type="dxa"/>
          <w:left w:w="108" w:type="dxa"/>
          <w:bottom w:w="0" w:type="dxa"/>
          <w:right w:w="108" w:type="dxa"/>
        </w:tblCellMar>
      </w:tblPr>
      <w:tblGrid>
        <w:gridCol w:w="2293"/>
        <w:gridCol w:w="1701"/>
        <w:gridCol w:w="1843"/>
        <w:gridCol w:w="1843"/>
        <w:gridCol w:w="1276"/>
        <w:gridCol w:w="3827"/>
        <w:gridCol w:w="1276"/>
      </w:tblGrid>
      <w:tr>
        <w:tblPrEx>
          <w:tblCellMar>
            <w:top w:w="0" w:type="dxa"/>
            <w:left w:w="108" w:type="dxa"/>
            <w:bottom w:w="0" w:type="dxa"/>
            <w:right w:w="108" w:type="dxa"/>
          </w:tblCellMar>
        </w:tblPrEx>
        <w:trPr>
          <w:trHeight w:val="690" w:hRule="atLeast"/>
        </w:trPr>
        <w:tc>
          <w:tcPr>
            <w:tcW w:w="22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kern w:val="0"/>
                <w:sz w:val="24"/>
                <w:szCs w:val="24"/>
              </w:rPr>
            </w:pPr>
            <w:r>
              <w:rPr>
                <w:rFonts w:hint="eastAsia" w:ascii="仿宋" w:hAnsi="仿宋" w:eastAsia="仿宋" w:cs="仿宋"/>
                <w:b/>
                <w:bCs/>
                <w:color w:val="000000"/>
                <w:kern w:val="0"/>
                <w:sz w:val="24"/>
                <w:szCs w:val="24"/>
              </w:rPr>
              <w:t>地块编号</w:t>
            </w:r>
          </w:p>
        </w:tc>
        <w:tc>
          <w:tcPr>
            <w:tcW w:w="354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kern w:val="0"/>
                <w:sz w:val="24"/>
                <w:szCs w:val="24"/>
              </w:rPr>
            </w:pPr>
            <w:r>
              <w:rPr>
                <w:rFonts w:hint="eastAsia" w:ascii="仿宋" w:hAnsi="仿宋" w:eastAsia="仿宋" w:cs="仿宋"/>
                <w:b/>
                <w:bCs/>
                <w:color w:val="000000"/>
                <w:kern w:val="0"/>
                <w:sz w:val="24"/>
                <w:szCs w:val="24"/>
              </w:rPr>
              <w:t>土地用途</w:t>
            </w:r>
          </w:p>
        </w:tc>
        <w:tc>
          <w:tcPr>
            <w:tcW w:w="18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kern w:val="0"/>
                <w:sz w:val="24"/>
                <w:szCs w:val="24"/>
              </w:rPr>
            </w:pPr>
            <w:r>
              <w:rPr>
                <w:rFonts w:hint="eastAsia" w:ascii="仿宋" w:hAnsi="仿宋" w:eastAsia="仿宋" w:cs="仿宋"/>
                <w:b/>
                <w:bCs/>
                <w:color w:val="000000"/>
                <w:kern w:val="0"/>
                <w:sz w:val="24"/>
                <w:szCs w:val="24"/>
              </w:rPr>
              <w:t>拟用地面积</w:t>
            </w:r>
          </w:p>
        </w:tc>
        <w:tc>
          <w:tcPr>
            <w:tcW w:w="12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kern w:val="0"/>
                <w:sz w:val="24"/>
                <w:szCs w:val="24"/>
              </w:rPr>
            </w:pPr>
            <w:r>
              <w:rPr>
                <w:rFonts w:hint="eastAsia" w:ascii="仿宋" w:hAnsi="仿宋" w:eastAsia="仿宋" w:cs="仿宋"/>
                <w:b/>
                <w:bCs/>
                <w:color w:val="000000"/>
                <w:kern w:val="0"/>
                <w:sz w:val="24"/>
                <w:szCs w:val="24"/>
              </w:rPr>
              <w:t>占比（%）</w:t>
            </w:r>
          </w:p>
        </w:tc>
        <w:tc>
          <w:tcPr>
            <w:tcW w:w="38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kern w:val="0"/>
                <w:sz w:val="24"/>
                <w:szCs w:val="24"/>
              </w:rPr>
            </w:pPr>
            <w:r>
              <w:rPr>
                <w:rFonts w:hint="eastAsia" w:ascii="仿宋" w:hAnsi="仿宋" w:eastAsia="仿宋" w:cs="仿宋"/>
                <w:b/>
                <w:bCs/>
                <w:color w:val="000000"/>
                <w:kern w:val="0"/>
                <w:sz w:val="24"/>
                <w:szCs w:val="24"/>
              </w:rPr>
              <w:t>实现功能</w:t>
            </w:r>
          </w:p>
        </w:tc>
        <w:tc>
          <w:tcPr>
            <w:tcW w:w="12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kern w:val="0"/>
                <w:sz w:val="24"/>
                <w:szCs w:val="24"/>
              </w:rPr>
            </w:pPr>
            <w:r>
              <w:rPr>
                <w:rFonts w:hint="eastAsia" w:ascii="仿宋" w:hAnsi="仿宋" w:eastAsia="仿宋" w:cs="仿宋"/>
                <w:b/>
                <w:bCs/>
                <w:color w:val="000000"/>
                <w:kern w:val="0"/>
                <w:sz w:val="24"/>
                <w:szCs w:val="24"/>
              </w:rPr>
              <w:t>是否公益性用地</w:t>
            </w:r>
          </w:p>
        </w:tc>
      </w:tr>
      <w:tr>
        <w:tblPrEx>
          <w:tblCellMar>
            <w:top w:w="0" w:type="dxa"/>
            <w:left w:w="108" w:type="dxa"/>
            <w:bottom w:w="0" w:type="dxa"/>
            <w:right w:w="108" w:type="dxa"/>
          </w:tblCellMar>
        </w:tblPrEx>
        <w:trPr>
          <w:trHeight w:val="600" w:hRule="atLeast"/>
        </w:trPr>
        <w:tc>
          <w:tcPr>
            <w:tcW w:w="22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szCs w:val="24"/>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kern w:val="0"/>
                <w:sz w:val="24"/>
                <w:szCs w:val="24"/>
              </w:rPr>
            </w:pPr>
            <w:r>
              <w:rPr>
                <w:rFonts w:hint="eastAsia" w:ascii="仿宋" w:hAnsi="仿宋" w:eastAsia="仿宋" w:cs="仿宋"/>
                <w:b/>
                <w:bCs/>
                <w:color w:val="000000"/>
                <w:kern w:val="0"/>
                <w:sz w:val="24"/>
                <w:szCs w:val="24"/>
              </w:rPr>
              <w:t>一级类</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kern w:val="0"/>
                <w:sz w:val="24"/>
                <w:szCs w:val="24"/>
              </w:rPr>
            </w:pPr>
            <w:r>
              <w:rPr>
                <w:rFonts w:hint="eastAsia" w:ascii="仿宋" w:hAnsi="仿宋" w:eastAsia="仿宋" w:cs="仿宋"/>
                <w:b/>
                <w:bCs/>
                <w:color w:val="000000"/>
                <w:kern w:val="0"/>
                <w:sz w:val="24"/>
                <w:szCs w:val="24"/>
              </w:rPr>
              <w:t>二级类</w:t>
            </w:r>
          </w:p>
        </w:tc>
        <w:tc>
          <w:tcPr>
            <w:tcW w:w="184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szCs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szCs w:val="24"/>
              </w:rPr>
            </w:pPr>
          </w:p>
        </w:tc>
        <w:tc>
          <w:tcPr>
            <w:tcW w:w="382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szCs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szCs w:val="24"/>
              </w:rPr>
            </w:pPr>
          </w:p>
        </w:tc>
      </w:tr>
      <w:tr>
        <w:tblPrEx>
          <w:tblCellMar>
            <w:top w:w="0" w:type="dxa"/>
            <w:left w:w="108" w:type="dxa"/>
            <w:bottom w:w="0" w:type="dxa"/>
            <w:right w:w="108" w:type="dxa"/>
          </w:tblCellMar>
        </w:tblPrEx>
        <w:trPr>
          <w:trHeight w:val="1020" w:hRule="atLeast"/>
        </w:trPr>
        <w:tc>
          <w:tcPr>
            <w:tcW w:w="229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35050420210100001</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公共管理与公共服务用地</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教育用地</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3.1364</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 xml:space="preserve">7.33 </w:t>
            </w:r>
          </w:p>
        </w:tc>
        <w:tc>
          <w:tcPr>
            <w:tcW w:w="382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实现片区儿童就近接受义务教育功能</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01</w:t>
            </w:r>
          </w:p>
        </w:tc>
      </w:tr>
      <w:tr>
        <w:tblPrEx>
          <w:tblCellMar>
            <w:top w:w="0" w:type="dxa"/>
            <w:left w:w="108" w:type="dxa"/>
            <w:bottom w:w="0" w:type="dxa"/>
            <w:right w:w="108" w:type="dxa"/>
          </w:tblCellMar>
        </w:tblPrEx>
        <w:trPr>
          <w:trHeight w:val="1020" w:hRule="atLeast"/>
        </w:trPr>
        <w:tc>
          <w:tcPr>
            <w:tcW w:w="229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35050420210100002</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交通运输用地</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城镇道路用地</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6.7154</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 xml:space="preserve">15.70 </w:t>
            </w:r>
          </w:p>
        </w:tc>
        <w:tc>
          <w:tcPr>
            <w:tcW w:w="382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实现省级开发片区完善交通网络，方便通行，满足省级开发区运行基础设施保障需要功能</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01</w:t>
            </w:r>
          </w:p>
        </w:tc>
      </w:tr>
      <w:tr>
        <w:tblPrEx>
          <w:tblCellMar>
            <w:top w:w="0" w:type="dxa"/>
            <w:left w:w="108" w:type="dxa"/>
            <w:bottom w:w="0" w:type="dxa"/>
            <w:right w:w="108" w:type="dxa"/>
          </w:tblCellMar>
        </w:tblPrEx>
        <w:trPr>
          <w:trHeight w:val="1020" w:hRule="atLeast"/>
        </w:trPr>
        <w:tc>
          <w:tcPr>
            <w:tcW w:w="229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35050420210100003</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特殊用地</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监教场所用地</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7.9994</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 xml:space="preserve">18.71 </w:t>
            </w:r>
          </w:p>
        </w:tc>
        <w:tc>
          <w:tcPr>
            <w:tcW w:w="382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实现增强全省监教能力功能</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01</w:t>
            </w:r>
          </w:p>
        </w:tc>
      </w:tr>
      <w:tr>
        <w:tblPrEx>
          <w:tblCellMar>
            <w:top w:w="0" w:type="dxa"/>
            <w:left w:w="108" w:type="dxa"/>
            <w:bottom w:w="0" w:type="dxa"/>
            <w:right w:w="108" w:type="dxa"/>
          </w:tblCellMar>
        </w:tblPrEx>
        <w:trPr>
          <w:trHeight w:val="1020" w:hRule="atLeast"/>
        </w:trPr>
        <w:tc>
          <w:tcPr>
            <w:tcW w:w="229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35050420210100004</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工矿用地</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工业用地</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24.9157</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 xml:space="preserve">58.26 </w:t>
            </w:r>
          </w:p>
        </w:tc>
        <w:tc>
          <w:tcPr>
            <w:tcW w:w="382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实现省级开发片区、省级智能制造试点示范基地工业产业生产功能</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02</w:t>
            </w:r>
          </w:p>
        </w:tc>
      </w:tr>
      <w:tr>
        <w:tblPrEx>
          <w:tblCellMar>
            <w:top w:w="0" w:type="dxa"/>
            <w:left w:w="108" w:type="dxa"/>
            <w:bottom w:w="0" w:type="dxa"/>
            <w:right w:w="108" w:type="dxa"/>
          </w:tblCellMar>
        </w:tblPrEx>
        <w:trPr>
          <w:trHeight w:val="546" w:hRule="atLeast"/>
        </w:trPr>
        <w:tc>
          <w:tcPr>
            <w:tcW w:w="229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合计</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42.7669</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100</w:t>
            </w:r>
          </w:p>
        </w:tc>
        <w:tc>
          <w:tcPr>
            <w:tcW w:w="382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　</w:t>
            </w:r>
          </w:p>
        </w:tc>
      </w:tr>
      <w:tr>
        <w:tblPrEx>
          <w:tblCellMar>
            <w:top w:w="0" w:type="dxa"/>
            <w:left w:w="108" w:type="dxa"/>
            <w:bottom w:w="0" w:type="dxa"/>
            <w:right w:w="108" w:type="dxa"/>
          </w:tblCellMar>
        </w:tblPrEx>
        <w:trPr>
          <w:trHeight w:val="90" w:hRule="atLeast"/>
        </w:trPr>
        <w:tc>
          <w:tcPr>
            <w:tcW w:w="14059" w:type="dxa"/>
            <w:gridSpan w:val="7"/>
            <w:tcBorders>
              <w:top w:val="nil"/>
              <w:left w:val="nil"/>
              <w:bottom w:val="nil"/>
              <w:right w:val="nil"/>
            </w:tcBorders>
            <w:shd w:val="clear" w:color="auto" w:fill="auto"/>
            <w:vAlign w:val="center"/>
          </w:tcPr>
          <w:p>
            <w:pPr>
              <w:widowControl/>
              <w:jc w:val="lef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注</w:t>
            </w:r>
            <w:r>
              <w:rPr>
                <w:rFonts w:ascii="Times New Roman" w:hAnsi="Times New Roman" w:eastAsia="仿宋_GB2312" w:cs="Times New Roman"/>
                <w:color w:val="000000"/>
                <w:kern w:val="0"/>
                <w:sz w:val="24"/>
                <w:szCs w:val="24"/>
              </w:rPr>
              <w:t>:  1.</w:t>
            </w:r>
            <w:r>
              <w:rPr>
                <w:rFonts w:hint="eastAsia" w:ascii="仿宋_GB2312" w:hAnsi="等线" w:eastAsia="仿宋_GB2312" w:cs="宋体"/>
                <w:color w:val="000000"/>
                <w:kern w:val="0"/>
                <w:sz w:val="24"/>
                <w:szCs w:val="24"/>
              </w:rPr>
              <w:t>土地用途：按照《国土空间调查、规划、用途管制用地用海分类指南（试行）》进行划分，应与国土空间规划成果相衔接；</w:t>
            </w:r>
          </w:p>
        </w:tc>
      </w:tr>
      <w:tr>
        <w:tblPrEx>
          <w:tblCellMar>
            <w:top w:w="0" w:type="dxa"/>
            <w:left w:w="108" w:type="dxa"/>
            <w:bottom w:w="0" w:type="dxa"/>
            <w:right w:w="108" w:type="dxa"/>
          </w:tblCellMar>
        </w:tblPrEx>
        <w:trPr>
          <w:trHeight w:val="450" w:hRule="atLeast"/>
        </w:trPr>
        <w:tc>
          <w:tcPr>
            <w:tcW w:w="14059" w:type="dxa"/>
            <w:gridSpan w:val="7"/>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xml:space="preserve">    2.</w:t>
            </w:r>
            <w:r>
              <w:rPr>
                <w:rFonts w:hint="eastAsia" w:ascii="仿宋_GB2312" w:hAnsi="Times New Roman" w:eastAsia="仿宋_GB2312" w:cs="Times New Roman"/>
                <w:color w:val="000000"/>
                <w:kern w:val="0"/>
                <w:sz w:val="24"/>
                <w:szCs w:val="24"/>
              </w:rPr>
              <w:t>实现功能：简要说明拟进行的生产经营活动；</w:t>
            </w:r>
          </w:p>
        </w:tc>
      </w:tr>
      <w:tr>
        <w:tblPrEx>
          <w:tblCellMar>
            <w:top w:w="0" w:type="dxa"/>
            <w:left w:w="108" w:type="dxa"/>
            <w:bottom w:w="0" w:type="dxa"/>
            <w:right w:w="108" w:type="dxa"/>
          </w:tblCellMar>
        </w:tblPrEx>
        <w:trPr>
          <w:trHeight w:val="540" w:hRule="atLeast"/>
        </w:trPr>
        <w:tc>
          <w:tcPr>
            <w:tcW w:w="14059" w:type="dxa"/>
            <w:gridSpan w:val="7"/>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xml:space="preserve">    3.</w:t>
            </w:r>
            <w:r>
              <w:rPr>
                <w:rFonts w:hint="eastAsia" w:ascii="仿宋_GB2312" w:hAnsi="Times New Roman" w:eastAsia="仿宋_GB2312" w:cs="Times New Roman"/>
                <w:color w:val="000000"/>
                <w:kern w:val="0"/>
                <w:sz w:val="24"/>
                <w:szCs w:val="24"/>
              </w:rPr>
              <w:t>是否公益性用地：公益性用地填“</w:t>
            </w:r>
            <w:r>
              <w:rPr>
                <w:rFonts w:ascii="Times New Roman" w:hAnsi="Times New Roman" w:eastAsia="等线" w:cs="Times New Roman"/>
                <w:color w:val="000000"/>
                <w:kern w:val="0"/>
                <w:sz w:val="24"/>
                <w:szCs w:val="24"/>
              </w:rPr>
              <w:t>01</w:t>
            </w:r>
            <w:r>
              <w:rPr>
                <w:rFonts w:hint="eastAsia" w:ascii="仿宋_GB2312" w:hAnsi="Times New Roman" w:eastAsia="仿宋_GB2312" w:cs="Times New Roman"/>
                <w:color w:val="000000"/>
                <w:kern w:val="0"/>
                <w:sz w:val="24"/>
                <w:szCs w:val="24"/>
              </w:rPr>
              <w:t>”、非公益性用地填“</w:t>
            </w:r>
            <w:r>
              <w:rPr>
                <w:rFonts w:ascii="Times New Roman" w:hAnsi="Times New Roman" w:eastAsia="等线" w:cs="Times New Roman"/>
                <w:color w:val="000000"/>
                <w:kern w:val="0"/>
                <w:sz w:val="24"/>
                <w:szCs w:val="24"/>
              </w:rPr>
              <w:t>02</w:t>
            </w:r>
            <w:r>
              <w:rPr>
                <w:rFonts w:hint="eastAsia" w:ascii="仿宋_GB2312" w:hAnsi="Times New Roman" w:eastAsia="仿宋_GB2312" w:cs="Times New Roman"/>
                <w:color w:val="000000"/>
                <w:kern w:val="0"/>
                <w:sz w:val="24"/>
                <w:szCs w:val="24"/>
              </w:rPr>
              <w:t>”，并在本列合计行填写公益性用地合计占比。</w:t>
            </w:r>
          </w:p>
        </w:tc>
      </w:tr>
    </w:tbl>
    <w:p>
      <w:pPr>
        <w:pStyle w:val="4"/>
        <w:spacing w:before="0" w:after="0" w:line="600" w:lineRule="exact"/>
        <w:ind w:firstLine="643" w:firstLineChars="200"/>
        <w:rPr>
          <w:rFonts w:ascii="楷体_GB2312" w:eastAsia="楷体_GB2312"/>
          <w:kern w:val="0"/>
        </w:rPr>
      </w:pPr>
      <w:bookmarkStart w:id="185" w:name="_Toc27324"/>
      <w:bookmarkStart w:id="186" w:name="_Toc19067"/>
      <w:bookmarkStart w:id="187" w:name="_Toc64641634"/>
      <w:r>
        <w:rPr>
          <w:rFonts w:hint="eastAsia" w:ascii="楷体_GB2312" w:eastAsia="楷体_GB2312"/>
          <w:kern w:val="0"/>
        </w:rPr>
        <w:t>附表3 ：拟建项目统计表</w:t>
      </w:r>
      <w:bookmarkEnd w:id="185"/>
      <w:bookmarkEnd w:id="186"/>
      <w:bookmarkEnd w:id="187"/>
    </w:p>
    <w:tbl>
      <w:tblPr>
        <w:tblStyle w:val="14"/>
        <w:tblW w:w="12000" w:type="dxa"/>
        <w:jc w:val="center"/>
        <w:tblLayout w:type="autofit"/>
        <w:tblCellMar>
          <w:top w:w="0" w:type="dxa"/>
          <w:left w:w="108" w:type="dxa"/>
          <w:bottom w:w="0" w:type="dxa"/>
          <w:right w:w="108" w:type="dxa"/>
        </w:tblCellMar>
      </w:tblPr>
      <w:tblGrid>
        <w:gridCol w:w="840"/>
        <w:gridCol w:w="4360"/>
        <w:gridCol w:w="3280"/>
        <w:gridCol w:w="3520"/>
      </w:tblGrid>
      <w:tr>
        <w:tblPrEx>
          <w:tblCellMar>
            <w:top w:w="0" w:type="dxa"/>
            <w:left w:w="108" w:type="dxa"/>
            <w:bottom w:w="0" w:type="dxa"/>
            <w:right w:w="108" w:type="dxa"/>
          </w:tblCellMar>
        </w:tblPrEx>
        <w:trPr>
          <w:trHeight w:val="540" w:hRule="atLeast"/>
          <w:jc w:val="center"/>
        </w:trPr>
        <w:tc>
          <w:tcPr>
            <w:tcW w:w="84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2"/>
              </w:rPr>
            </w:pPr>
          </w:p>
        </w:tc>
        <w:tc>
          <w:tcPr>
            <w:tcW w:w="4360" w:type="dxa"/>
            <w:tcBorders>
              <w:top w:val="nil"/>
              <w:left w:val="nil"/>
              <w:bottom w:val="nil"/>
              <w:right w:val="nil"/>
            </w:tcBorders>
            <w:shd w:val="clear" w:color="auto" w:fill="auto"/>
            <w:vAlign w:val="center"/>
          </w:tcPr>
          <w:p>
            <w:pPr>
              <w:widowControl/>
              <w:jc w:val="left"/>
              <w:rPr>
                <w:rFonts w:ascii="仿宋_GB2312" w:hAnsi="等线" w:eastAsia="仿宋_GB2312" w:cs="宋体"/>
                <w:color w:val="000000"/>
                <w:kern w:val="0"/>
                <w:sz w:val="28"/>
                <w:szCs w:val="28"/>
              </w:rPr>
            </w:pPr>
          </w:p>
        </w:tc>
        <w:tc>
          <w:tcPr>
            <w:tcW w:w="3280" w:type="dxa"/>
            <w:tcBorders>
              <w:top w:val="nil"/>
              <w:left w:val="nil"/>
              <w:bottom w:val="nil"/>
              <w:right w:val="nil"/>
            </w:tcBorders>
            <w:shd w:val="clear" w:color="auto" w:fill="auto"/>
            <w:vAlign w:val="center"/>
          </w:tcPr>
          <w:p>
            <w:pPr>
              <w:widowControl/>
              <w:jc w:val="left"/>
              <w:rPr>
                <w:rFonts w:ascii="仿宋_GB2312" w:hAnsi="等线" w:eastAsia="仿宋_GB2312" w:cs="宋体"/>
                <w:color w:val="000000"/>
                <w:kern w:val="0"/>
                <w:sz w:val="28"/>
                <w:szCs w:val="28"/>
              </w:rPr>
            </w:pPr>
          </w:p>
        </w:tc>
        <w:tc>
          <w:tcPr>
            <w:tcW w:w="3520" w:type="dxa"/>
            <w:tcBorders>
              <w:top w:val="nil"/>
              <w:left w:val="nil"/>
              <w:bottom w:val="nil"/>
              <w:right w:val="nil"/>
            </w:tcBorders>
            <w:shd w:val="clear" w:color="auto" w:fill="auto"/>
            <w:vAlign w:val="center"/>
          </w:tcPr>
          <w:p>
            <w:pPr>
              <w:widowControl/>
              <w:jc w:val="right"/>
              <w:rPr>
                <w:rFonts w:ascii="仿宋_GB2312" w:hAnsi="等线" w:eastAsia="仿宋_GB2312" w:cs="宋体"/>
                <w:color w:val="000000"/>
                <w:kern w:val="0"/>
                <w:sz w:val="28"/>
                <w:szCs w:val="28"/>
              </w:rPr>
            </w:pPr>
            <w:r>
              <w:rPr>
                <w:rFonts w:hint="eastAsia" w:ascii="仿宋_GB2312" w:hAnsi="等线" w:eastAsia="仿宋_GB2312" w:cs="宋体"/>
                <w:color w:val="000000"/>
                <w:kern w:val="0"/>
                <w:sz w:val="28"/>
                <w:szCs w:val="28"/>
              </w:rPr>
              <w:t>单位</w:t>
            </w:r>
            <w:r>
              <w:rPr>
                <w:rFonts w:ascii="Times New Roman" w:hAnsi="Times New Roman" w:eastAsia="仿宋_GB2312" w:cs="Times New Roman"/>
                <w:color w:val="000000"/>
                <w:kern w:val="0"/>
                <w:sz w:val="28"/>
                <w:szCs w:val="28"/>
              </w:rPr>
              <w:t>:</w:t>
            </w:r>
            <w:r>
              <w:rPr>
                <w:rFonts w:hint="eastAsia" w:ascii="仿宋_GB2312" w:hAnsi="等线" w:eastAsia="仿宋_GB2312" w:cs="宋体"/>
                <w:color w:val="000000"/>
                <w:kern w:val="0"/>
                <w:sz w:val="28"/>
                <w:szCs w:val="28"/>
              </w:rPr>
              <w:t>公顷</w:t>
            </w:r>
          </w:p>
        </w:tc>
      </w:tr>
      <w:tr>
        <w:tblPrEx>
          <w:tblCellMar>
            <w:top w:w="0" w:type="dxa"/>
            <w:left w:w="108" w:type="dxa"/>
            <w:bottom w:w="0" w:type="dxa"/>
            <w:right w:w="108" w:type="dxa"/>
          </w:tblCellMar>
        </w:tblPrEx>
        <w:trPr>
          <w:trHeight w:val="825" w:hRule="atLeast"/>
          <w:jc w:val="center"/>
        </w:trPr>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 w:val="28"/>
                <w:szCs w:val="28"/>
              </w:rPr>
            </w:pPr>
            <w:r>
              <w:rPr>
                <w:rFonts w:hint="eastAsia" w:ascii="仿宋" w:hAnsi="仿宋" w:eastAsia="仿宋" w:cs="宋体"/>
                <w:b/>
                <w:bCs/>
                <w:color w:val="000000"/>
                <w:kern w:val="0"/>
                <w:sz w:val="28"/>
                <w:szCs w:val="28"/>
              </w:rPr>
              <w:t>序号</w:t>
            </w:r>
          </w:p>
        </w:tc>
        <w:tc>
          <w:tcPr>
            <w:tcW w:w="43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 w:val="28"/>
                <w:szCs w:val="28"/>
              </w:rPr>
            </w:pPr>
            <w:r>
              <w:rPr>
                <w:rFonts w:hint="eastAsia" w:ascii="仿宋" w:hAnsi="仿宋" w:eastAsia="仿宋" w:cs="宋体"/>
                <w:b/>
                <w:bCs/>
                <w:color w:val="000000"/>
                <w:kern w:val="0"/>
                <w:sz w:val="28"/>
                <w:szCs w:val="28"/>
              </w:rPr>
              <w:t>项目名称</w:t>
            </w:r>
          </w:p>
        </w:tc>
        <w:tc>
          <w:tcPr>
            <w:tcW w:w="32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 w:val="28"/>
                <w:szCs w:val="28"/>
              </w:rPr>
            </w:pPr>
            <w:r>
              <w:rPr>
                <w:rFonts w:hint="eastAsia" w:ascii="仿宋" w:hAnsi="仿宋" w:eastAsia="仿宋" w:cs="宋体"/>
                <w:b/>
                <w:bCs/>
                <w:color w:val="000000"/>
                <w:kern w:val="0"/>
                <w:sz w:val="28"/>
                <w:szCs w:val="28"/>
              </w:rPr>
              <w:t>土地用途</w:t>
            </w:r>
          </w:p>
        </w:tc>
        <w:tc>
          <w:tcPr>
            <w:tcW w:w="352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 w:val="28"/>
                <w:szCs w:val="28"/>
              </w:rPr>
            </w:pPr>
            <w:r>
              <w:rPr>
                <w:rFonts w:hint="eastAsia" w:ascii="仿宋" w:hAnsi="仿宋" w:eastAsia="仿宋" w:cs="宋体"/>
                <w:b/>
                <w:bCs/>
                <w:color w:val="000000"/>
                <w:kern w:val="0"/>
                <w:sz w:val="28"/>
                <w:szCs w:val="28"/>
              </w:rPr>
              <w:t>用地面积</w:t>
            </w:r>
          </w:p>
        </w:tc>
      </w:tr>
      <w:tr>
        <w:tblPrEx>
          <w:tblCellMar>
            <w:top w:w="0" w:type="dxa"/>
            <w:left w:w="108" w:type="dxa"/>
            <w:bottom w:w="0" w:type="dxa"/>
            <w:right w:w="108" w:type="dxa"/>
          </w:tblCellMar>
        </w:tblPrEx>
        <w:trPr>
          <w:trHeight w:val="750" w:hRule="atLeast"/>
          <w:jc w:val="center"/>
        </w:trPr>
        <w:tc>
          <w:tcPr>
            <w:tcW w:w="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1</w:t>
            </w:r>
          </w:p>
        </w:tc>
        <w:tc>
          <w:tcPr>
            <w:tcW w:w="43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河市第三中心小学</w:t>
            </w:r>
          </w:p>
        </w:tc>
        <w:tc>
          <w:tcPr>
            <w:tcW w:w="328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教育用地</w:t>
            </w:r>
          </w:p>
        </w:tc>
        <w:tc>
          <w:tcPr>
            <w:tcW w:w="35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3.1364</w:t>
            </w:r>
          </w:p>
        </w:tc>
      </w:tr>
      <w:tr>
        <w:tblPrEx>
          <w:tblCellMar>
            <w:top w:w="0" w:type="dxa"/>
            <w:left w:w="108" w:type="dxa"/>
            <w:bottom w:w="0" w:type="dxa"/>
            <w:right w:w="108" w:type="dxa"/>
          </w:tblCellMar>
        </w:tblPrEx>
        <w:trPr>
          <w:trHeight w:val="720" w:hRule="atLeast"/>
          <w:jc w:val="center"/>
        </w:trPr>
        <w:tc>
          <w:tcPr>
            <w:tcW w:w="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2</w:t>
            </w:r>
          </w:p>
        </w:tc>
        <w:tc>
          <w:tcPr>
            <w:tcW w:w="43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8"/>
                <w:szCs w:val="28"/>
              </w:rPr>
            </w:pPr>
            <w:r>
              <w:rPr>
                <w:rFonts w:hint="eastAsia" w:ascii="仿宋" w:hAnsi="仿宋" w:eastAsia="仿宋" w:cs="宋体"/>
                <w:color w:val="000000"/>
                <w:spacing w:val="-20"/>
                <w:kern w:val="0"/>
                <w:sz w:val="28"/>
                <w:szCs w:val="28"/>
              </w:rPr>
              <w:t>洛江经济开发区西片区河西路项目</w:t>
            </w:r>
          </w:p>
        </w:tc>
        <w:tc>
          <w:tcPr>
            <w:tcW w:w="328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城镇道路用地</w:t>
            </w:r>
          </w:p>
        </w:tc>
        <w:tc>
          <w:tcPr>
            <w:tcW w:w="35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6.7154</w:t>
            </w:r>
          </w:p>
        </w:tc>
      </w:tr>
      <w:tr>
        <w:tblPrEx>
          <w:tblCellMar>
            <w:top w:w="0" w:type="dxa"/>
            <w:left w:w="108" w:type="dxa"/>
            <w:bottom w:w="0" w:type="dxa"/>
            <w:right w:w="108" w:type="dxa"/>
          </w:tblCellMar>
        </w:tblPrEx>
        <w:trPr>
          <w:trHeight w:val="690" w:hRule="atLeast"/>
          <w:jc w:val="center"/>
        </w:trPr>
        <w:tc>
          <w:tcPr>
            <w:tcW w:w="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3</w:t>
            </w:r>
          </w:p>
        </w:tc>
        <w:tc>
          <w:tcPr>
            <w:tcW w:w="43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福建省洛江监狱</w:t>
            </w:r>
          </w:p>
        </w:tc>
        <w:tc>
          <w:tcPr>
            <w:tcW w:w="328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监教场所用地</w:t>
            </w:r>
          </w:p>
        </w:tc>
        <w:tc>
          <w:tcPr>
            <w:tcW w:w="35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7.9994</w:t>
            </w:r>
          </w:p>
        </w:tc>
      </w:tr>
      <w:tr>
        <w:tblPrEx>
          <w:tblCellMar>
            <w:top w:w="0" w:type="dxa"/>
            <w:left w:w="108" w:type="dxa"/>
            <w:bottom w:w="0" w:type="dxa"/>
            <w:right w:w="108" w:type="dxa"/>
          </w:tblCellMar>
        </w:tblPrEx>
        <w:trPr>
          <w:trHeight w:val="840" w:hRule="atLeast"/>
          <w:jc w:val="center"/>
        </w:trPr>
        <w:tc>
          <w:tcPr>
            <w:tcW w:w="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4</w:t>
            </w:r>
          </w:p>
        </w:tc>
        <w:tc>
          <w:tcPr>
            <w:tcW w:w="43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工业用地</w:t>
            </w:r>
          </w:p>
        </w:tc>
        <w:tc>
          <w:tcPr>
            <w:tcW w:w="328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工业用地</w:t>
            </w:r>
          </w:p>
        </w:tc>
        <w:tc>
          <w:tcPr>
            <w:tcW w:w="35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24.9157</w:t>
            </w:r>
          </w:p>
        </w:tc>
      </w:tr>
      <w:tr>
        <w:tblPrEx>
          <w:tblCellMar>
            <w:top w:w="0" w:type="dxa"/>
            <w:left w:w="108" w:type="dxa"/>
            <w:bottom w:w="0" w:type="dxa"/>
            <w:right w:w="108" w:type="dxa"/>
          </w:tblCellMar>
        </w:tblPrEx>
        <w:trPr>
          <w:trHeight w:val="840" w:hRule="atLeast"/>
          <w:jc w:val="center"/>
        </w:trPr>
        <w:tc>
          <w:tcPr>
            <w:tcW w:w="848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合计</w:t>
            </w:r>
          </w:p>
        </w:tc>
        <w:tc>
          <w:tcPr>
            <w:tcW w:w="35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42.7669</w:t>
            </w:r>
          </w:p>
        </w:tc>
      </w:tr>
      <w:tr>
        <w:tblPrEx>
          <w:tblCellMar>
            <w:top w:w="0" w:type="dxa"/>
            <w:left w:w="108" w:type="dxa"/>
            <w:bottom w:w="0" w:type="dxa"/>
            <w:right w:w="108" w:type="dxa"/>
          </w:tblCellMar>
        </w:tblPrEx>
        <w:trPr>
          <w:trHeight w:val="870" w:hRule="atLeast"/>
          <w:jc w:val="center"/>
        </w:trPr>
        <w:tc>
          <w:tcPr>
            <w:tcW w:w="12000" w:type="dxa"/>
            <w:gridSpan w:val="4"/>
            <w:tcBorders>
              <w:top w:val="single" w:color="auto" w:sz="4" w:space="0"/>
              <w:left w:val="nil"/>
              <w:bottom w:val="nil"/>
              <w:right w:val="nil"/>
            </w:tcBorders>
            <w:shd w:val="clear" w:color="auto" w:fill="auto"/>
            <w:noWrap/>
            <w:vAlign w:val="center"/>
          </w:tcPr>
          <w:p>
            <w:pPr>
              <w:widowControl/>
              <w:jc w:val="left"/>
              <w:rPr>
                <w:rFonts w:ascii="仿宋_GB2312" w:hAnsi="等线" w:eastAsia="仿宋_GB2312" w:cs="宋体"/>
                <w:color w:val="000000"/>
                <w:kern w:val="0"/>
                <w:sz w:val="28"/>
                <w:szCs w:val="28"/>
              </w:rPr>
            </w:pPr>
            <w:r>
              <w:rPr>
                <w:rFonts w:hint="eastAsia" w:ascii="仿宋_GB2312" w:hAnsi="等线" w:eastAsia="仿宋_GB2312" w:cs="宋体"/>
                <w:color w:val="000000"/>
                <w:kern w:val="0"/>
                <w:sz w:val="28"/>
                <w:szCs w:val="28"/>
              </w:rPr>
              <w:t>注</w:t>
            </w:r>
            <w:r>
              <w:rPr>
                <w:rFonts w:ascii="Times New Roman" w:hAnsi="Times New Roman" w:eastAsia="仿宋_GB2312" w:cs="Times New Roman"/>
                <w:color w:val="000000"/>
                <w:kern w:val="0"/>
                <w:sz w:val="28"/>
                <w:szCs w:val="28"/>
              </w:rPr>
              <w:t>:</w:t>
            </w:r>
            <w:r>
              <w:rPr>
                <w:rFonts w:hint="eastAsia" w:ascii="仿宋_GB2312" w:hAnsi="等线" w:eastAsia="仿宋_GB2312" w:cs="宋体"/>
                <w:color w:val="000000"/>
                <w:kern w:val="0"/>
                <w:sz w:val="28"/>
                <w:szCs w:val="28"/>
              </w:rPr>
              <w:t>用途统计应与《地块用途、面积及实现功能统计表》一致。</w:t>
            </w:r>
          </w:p>
        </w:tc>
      </w:tr>
    </w:tbl>
    <w:p>
      <w:pPr>
        <w:adjustRightInd w:val="0"/>
        <w:snapToGrid w:val="0"/>
        <w:spacing w:line="360" w:lineRule="auto"/>
        <w:rPr>
          <w:rFonts w:ascii="宋体" w:hAnsi="宋体" w:eastAsia="宋体" w:cs="宋体"/>
          <w:b/>
          <w:bCs/>
          <w:color w:val="000000"/>
          <w:kern w:val="0"/>
          <w:sz w:val="28"/>
          <w:szCs w:val="28"/>
        </w:rPr>
      </w:pPr>
    </w:p>
    <w:p>
      <w:pPr>
        <w:pStyle w:val="4"/>
        <w:spacing w:before="0" w:after="0" w:line="600" w:lineRule="exact"/>
        <w:ind w:firstLine="643" w:firstLineChars="200"/>
        <w:rPr>
          <w:rFonts w:ascii="楷体_GB2312" w:eastAsia="楷体_GB2312"/>
          <w:kern w:val="0"/>
        </w:rPr>
      </w:pPr>
      <w:bookmarkStart w:id="188" w:name="_Toc30248"/>
      <w:bookmarkStart w:id="189" w:name="_Toc28843"/>
      <w:bookmarkStart w:id="190" w:name="_Toc64641635"/>
    </w:p>
    <w:p>
      <w:pPr>
        <w:pStyle w:val="4"/>
        <w:spacing w:before="0" w:after="0" w:line="600" w:lineRule="exact"/>
        <w:ind w:firstLine="643" w:firstLineChars="200"/>
        <w:rPr>
          <w:rFonts w:ascii="楷体_GB2312" w:eastAsia="楷体_GB2312"/>
          <w:kern w:val="0"/>
        </w:rPr>
      </w:pPr>
      <w:r>
        <w:rPr>
          <w:rFonts w:hint="eastAsia" w:ascii="楷体_GB2312" w:eastAsia="楷体_GB2312"/>
          <w:kern w:val="0"/>
        </w:rPr>
        <w:t>附表4 ：开发时序和年度实施计划统计表</w:t>
      </w:r>
      <w:bookmarkEnd w:id="188"/>
      <w:bookmarkEnd w:id="189"/>
      <w:bookmarkEnd w:id="190"/>
    </w:p>
    <w:p>
      <w:pPr>
        <w:adjustRightInd w:val="0"/>
        <w:snapToGrid w:val="0"/>
        <w:spacing w:line="360" w:lineRule="auto"/>
        <w:ind w:firstLine="11200" w:firstLineChars="4000"/>
        <w:rPr>
          <w:rFonts w:ascii="Times New Roman" w:hAnsi="Times New Roman" w:eastAsia="仿宋_GB2312" w:cs="Times New Roman"/>
          <w:color w:val="000000"/>
          <w:kern w:val="0"/>
          <w:sz w:val="28"/>
          <w:szCs w:val="28"/>
        </w:rPr>
      </w:pPr>
    </w:p>
    <w:tbl>
      <w:tblPr>
        <w:tblStyle w:val="14"/>
        <w:tblW w:w="12000" w:type="dxa"/>
        <w:jc w:val="center"/>
        <w:tblLayout w:type="autofit"/>
        <w:tblCellMar>
          <w:top w:w="0" w:type="dxa"/>
          <w:left w:w="108" w:type="dxa"/>
          <w:bottom w:w="0" w:type="dxa"/>
          <w:right w:w="108" w:type="dxa"/>
        </w:tblCellMar>
      </w:tblPr>
      <w:tblGrid>
        <w:gridCol w:w="1440"/>
        <w:gridCol w:w="1740"/>
        <w:gridCol w:w="1560"/>
        <w:gridCol w:w="1920"/>
        <w:gridCol w:w="1520"/>
        <w:gridCol w:w="1900"/>
        <w:gridCol w:w="1920"/>
      </w:tblGrid>
      <w:tr>
        <w:tblPrEx>
          <w:tblCellMar>
            <w:top w:w="0" w:type="dxa"/>
            <w:left w:w="108" w:type="dxa"/>
            <w:bottom w:w="0" w:type="dxa"/>
            <w:right w:w="108" w:type="dxa"/>
          </w:tblCellMar>
        </w:tblPrEx>
        <w:trPr>
          <w:trHeight w:val="510" w:hRule="atLeast"/>
          <w:jc w:val="center"/>
        </w:trPr>
        <w:tc>
          <w:tcPr>
            <w:tcW w:w="1440" w:type="dxa"/>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sz w:val="28"/>
                <w:szCs w:val="28"/>
              </w:rPr>
            </w:pPr>
          </w:p>
        </w:tc>
        <w:tc>
          <w:tcPr>
            <w:tcW w:w="174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2"/>
              </w:rPr>
            </w:pPr>
          </w:p>
        </w:tc>
        <w:tc>
          <w:tcPr>
            <w:tcW w:w="1560" w:type="dxa"/>
            <w:tcBorders>
              <w:top w:val="nil"/>
              <w:left w:val="nil"/>
              <w:bottom w:val="nil"/>
              <w:right w:val="nil"/>
            </w:tcBorders>
            <w:shd w:val="clear" w:color="auto" w:fill="auto"/>
            <w:vAlign w:val="center"/>
          </w:tcPr>
          <w:p>
            <w:pPr>
              <w:widowControl/>
              <w:jc w:val="left"/>
              <w:rPr>
                <w:rFonts w:ascii="仿宋_GB2312" w:hAnsi="等线" w:eastAsia="仿宋_GB2312" w:cs="宋体"/>
                <w:color w:val="000000"/>
                <w:kern w:val="0"/>
                <w:sz w:val="28"/>
                <w:szCs w:val="28"/>
              </w:rPr>
            </w:pPr>
          </w:p>
        </w:tc>
        <w:tc>
          <w:tcPr>
            <w:tcW w:w="1920" w:type="dxa"/>
            <w:tcBorders>
              <w:top w:val="nil"/>
              <w:left w:val="nil"/>
              <w:bottom w:val="nil"/>
              <w:right w:val="nil"/>
            </w:tcBorders>
            <w:shd w:val="clear" w:color="auto" w:fill="auto"/>
            <w:vAlign w:val="center"/>
          </w:tcPr>
          <w:p>
            <w:pPr>
              <w:widowControl/>
              <w:jc w:val="left"/>
              <w:rPr>
                <w:rFonts w:ascii="仿宋_GB2312" w:hAnsi="等线" w:eastAsia="仿宋_GB2312" w:cs="宋体"/>
                <w:color w:val="000000"/>
                <w:kern w:val="0"/>
                <w:sz w:val="28"/>
                <w:szCs w:val="28"/>
              </w:rPr>
            </w:pPr>
          </w:p>
        </w:tc>
        <w:tc>
          <w:tcPr>
            <w:tcW w:w="5340" w:type="dxa"/>
            <w:gridSpan w:val="3"/>
            <w:tcBorders>
              <w:top w:val="nil"/>
              <w:left w:val="nil"/>
              <w:bottom w:val="single" w:color="auto" w:sz="4" w:space="0"/>
              <w:right w:val="nil"/>
            </w:tcBorders>
            <w:shd w:val="clear" w:color="auto" w:fill="auto"/>
            <w:vAlign w:val="center"/>
          </w:tcPr>
          <w:p>
            <w:pPr>
              <w:widowControl/>
              <w:jc w:val="right"/>
              <w:rPr>
                <w:rFonts w:ascii="仿宋_GB2312" w:hAnsi="等线" w:eastAsia="仿宋_GB2312" w:cs="宋体"/>
                <w:color w:val="000000"/>
                <w:kern w:val="0"/>
                <w:sz w:val="28"/>
                <w:szCs w:val="28"/>
              </w:rPr>
            </w:pPr>
            <w:r>
              <w:rPr>
                <w:rFonts w:hint="eastAsia" w:ascii="仿宋_GB2312" w:hAnsi="等线" w:eastAsia="仿宋_GB2312" w:cs="宋体"/>
                <w:color w:val="000000"/>
                <w:kern w:val="0"/>
                <w:sz w:val="28"/>
                <w:szCs w:val="28"/>
              </w:rPr>
              <w:t>单位</w:t>
            </w:r>
            <w:r>
              <w:rPr>
                <w:rFonts w:ascii="Times New Roman" w:hAnsi="Times New Roman" w:eastAsia="仿宋_GB2312" w:cs="Times New Roman"/>
                <w:color w:val="000000"/>
                <w:kern w:val="0"/>
                <w:sz w:val="28"/>
                <w:szCs w:val="28"/>
              </w:rPr>
              <w:t>:</w:t>
            </w:r>
            <w:r>
              <w:rPr>
                <w:rFonts w:hint="eastAsia" w:ascii="仿宋_GB2312" w:hAnsi="等线" w:eastAsia="仿宋_GB2312" w:cs="宋体"/>
                <w:color w:val="000000"/>
                <w:kern w:val="0"/>
                <w:sz w:val="28"/>
                <w:szCs w:val="28"/>
              </w:rPr>
              <w:t>公顷、</w:t>
            </w:r>
            <w:r>
              <w:rPr>
                <w:rFonts w:ascii="Times New Roman" w:hAnsi="Times New Roman" w:eastAsia="仿宋_GB2312" w:cs="Times New Roman"/>
                <w:color w:val="000000"/>
                <w:kern w:val="0"/>
                <w:sz w:val="28"/>
                <w:szCs w:val="28"/>
              </w:rPr>
              <w:t>%</w:t>
            </w:r>
          </w:p>
        </w:tc>
      </w:tr>
      <w:tr>
        <w:tblPrEx>
          <w:tblCellMar>
            <w:top w:w="0" w:type="dxa"/>
            <w:left w:w="108" w:type="dxa"/>
            <w:bottom w:w="0" w:type="dxa"/>
            <w:right w:w="108" w:type="dxa"/>
          </w:tblCellMar>
        </w:tblPrEx>
        <w:trPr>
          <w:trHeight w:val="750" w:hRule="atLeast"/>
          <w:jc w:val="center"/>
        </w:trPr>
        <w:tc>
          <w:tcPr>
            <w:tcW w:w="14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kern w:val="0"/>
                <w:sz w:val="28"/>
                <w:szCs w:val="28"/>
              </w:rPr>
            </w:pPr>
            <w:r>
              <w:rPr>
                <w:rFonts w:hint="eastAsia" w:ascii="仿宋" w:hAnsi="仿宋" w:eastAsia="仿宋" w:cs="仿宋"/>
                <w:b/>
                <w:bCs/>
                <w:color w:val="000000"/>
                <w:kern w:val="0"/>
                <w:sz w:val="28"/>
                <w:szCs w:val="28"/>
              </w:rPr>
              <w:t>实施总面积</w:t>
            </w:r>
          </w:p>
        </w:tc>
        <w:tc>
          <w:tcPr>
            <w:tcW w:w="330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kern w:val="0"/>
                <w:sz w:val="28"/>
                <w:szCs w:val="28"/>
              </w:rPr>
            </w:pPr>
            <w:r>
              <w:rPr>
                <w:rFonts w:hint="eastAsia" w:ascii="仿宋" w:hAnsi="仿宋" w:eastAsia="仿宋" w:cs="仿宋"/>
                <w:b/>
                <w:bCs/>
                <w:color w:val="000000"/>
                <w:kern w:val="0"/>
                <w:sz w:val="28"/>
                <w:szCs w:val="28"/>
              </w:rPr>
              <w:t>2021年</w:t>
            </w:r>
          </w:p>
        </w:tc>
        <w:tc>
          <w:tcPr>
            <w:tcW w:w="344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kern w:val="0"/>
                <w:sz w:val="28"/>
                <w:szCs w:val="28"/>
              </w:rPr>
            </w:pPr>
            <w:r>
              <w:rPr>
                <w:rFonts w:hint="eastAsia" w:ascii="仿宋" w:hAnsi="仿宋" w:eastAsia="仿宋" w:cs="仿宋"/>
                <w:b/>
                <w:bCs/>
                <w:color w:val="000000"/>
                <w:kern w:val="0"/>
                <w:sz w:val="28"/>
                <w:szCs w:val="28"/>
              </w:rPr>
              <w:t>2022年</w:t>
            </w:r>
          </w:p>
        </w:tc>
        <w:tc>
          <w:tcPr>
            <w:tcW w:w="38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kern w:val="0"/>
                <w:sz w:val="28"/>
                <w:szCs w:val="28"/>
              </w:rPr>
            </w:pPr>
            <w:r>
              <w:rPr>
                <w:rFonts w:hint="eastAsia" w:ascii="仿宋" w:hAnsi="仿宋" w:eastAsia="仿宋" w:cs="仿宋"/>
                <w:b/>
                <w:bCs/>
                <w:color w:val="000000"/>
                <w:kern w:val="0"/>
                <w:sz w:val="28"/>
                <w:szCs w:val="28"/>
              </w:rPr>
              <w:t>2023年</w:t>
            </w:r>
          </w:p>
        </w:tc>
      </w:tr>
      <w:tr>
        <w:tblPrEx>
          <w:tblCellMar>
            <w:top w:w="0" w:type="dxa"/>
            <w:left w:w="108" w:type="dxa"/>
            <w:bottom w:w="0" w:type="dxa"/>
            <w:right w:w="108" w:type="dxa"/>
          </w:tblCellMar>
        </w:tblPrEx>
        <w:trPr>
          <w:trHeight w:val="1320" w:hRule="atLeast"/>
          <w:jc w:val="center"/>
        </w:trPr>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8"/>
                <w:szCs w:val="28"/>
              </w:rPr>
            </w:pPr>
          </w:p>
        </w:tc>
        <w:tc>
          <w:tcPr>
            <w:tcW w:w="1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kern w:val="0"/>
                <w:sz w:val="28"/>
                <w:szCs w:val="28"/>
              </w:rPr>
            </w:pPr>
            <w:r>
              <w:rPr>
                <w:rFonts w:hint="eastAsia" w:ascii="仿宋" w:hAnsi="仿宋" w:eastAsia="仿宋" w:cs="仿宋"/>
                <w:b/>
                <w:bCs/>
                <w:color w:val="000000"/>
                <w:kern w:val="0"/>
                <w:sz w:val="28"/>
                <w:szCs w:val="28"/>
              </w:rPr>
              <w:t>完成面积</w:t>
            </w:r>
          </w:p>
        </w:tc>
        <w:tc>
          <w:tcPr>
            <w:tcW w:w="15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kern w:val="0"/>
                <w:sz w:val="28"/>
                <w:szCs w:val="28"/>
              </w:rPr>
            </w:pPr>
            <w:r>
              <w:rPr>
                <w:rFonts w:hint="eastAsia" w:ascii="仿宋" w:hAnsi="仿宋" w:eastAsia="仿宋" w:cs="仿宋"/>
                <w:b/>
                <w:bCs/>
                <w:color w:val="000000"/>
                <w:kern w:val="0"/>
                <w:sz w:val="28"/>
                <w:szCs w:val="28"/>
              </w:rPr>
              <w:t>比例</w:t>
            </w:r>
          </w:p>
        </w:tc>
        <w:tc>
          <w:tcPr>
            <w:tcW w:w="19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kern w:val="0"/>
                <w:sz w:val="28"/>
                <w:szCs w:val="28"/>
              </w:rPr>
            </w:pPr>
            <w:r>
              <w:rPr>
                <w:rFonts w:hint="eastAsia" w:ascii="仿宋" w:hAnsi="仿宋" w:eastAsia="仿宋" w:cs="仿宋"/>
                <w:b/>
                <w:bCs/>
                <w:color w:val="000000"/>
                <w:kern w:val="0"/>
                <w:sz w:val="28"/>
                <w:szCs w:val="28"/>
              </w:rPr>
              <w:t>完成面积</w:t>
            </w:r>
          </w:p>
        </w:tc>
        <w:tc>
          <w:tcPr>
            <w:tcW w:w="15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kern w:val="0"/>
                <w:sz w:val="28"/>
                <w:szCs w:val="28"/>
              </w:rPr>
            </w:pPr>
            <w:r>
              <w:rPr>
                <w:rFonts w:hint="eastAsia" w:ascii="仿宋" w:hAnsi="仿宋" w:eastAsia="仿宋" w:cs="仿宋"/>
                <w:b/>
                <w:bCs/>
                <w:color w:val="000000"/>
                <w:kern w:val="0"/>
                <w:sz w:val="28"/>
                <w:szCs w:val="28"/>
              </w:rPr>
              <w:t>比例</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kern w:val="0"/>
                <w:sz w:val="28"/>
                <w:szCs w:val="28"/>
              </w:rPr>
            </w:pPr>
            <w:r>
              <w:rPr>
                <w:rFonts w:hint="eastAsia" w:ascii="仿宋" w:hAnsi="仿宋" w:eastAsia="仿宋" w:cs="仿宋"/>
                <w:b/>
                <w:bCs/>
                <w:color w:val="000000"/>
                <w:kern w:val="0"/>
                <w:sz w:val="28"/>
                <w:szCs w:val="28"/>
              </w:rPr>
              <w:t>完成面积</w:t>
            </w:r>
          </w:p>
        </w:tc>
        <w:tc>
          <w:tcPr>
            <w:tcW w:w="19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kern w:val="0"/>
                <w:sz w:val="28"/>
                <w:szCs w:val="28"/>
              </w:rPr>
            </w:pPr>
            <w:r>
              <w:rPr>
                <w:rFonts w:hint="eastAsia" w:ascii="仿宋" w:hAnsi="仿宋" w:eastAsia="仿宋" w:cs="仿宋"/>
                <w:b/>
                <w:bCs/>
                <w:color w:val="000000"/>
                <w:kern w:val="0"/>
                <w:sz w:val="28"/>
                <w:szCs w:val="28"/>
              </w:rPr>
              <w:t>比例</w:t>
            </w:r>
          </w:p>
        </w:tc>
      </w:tr>
      <w:tr>
        <w:tblPrEx>
          <w:tblCellMar>
            <w:top w:w="0" w:type="dxa"/>
            <w:left w:w="108" w:type="dxa"/>
            <w:bottom w:w="0" w:type="dxa"/>
            <w:right w:w="108" w:type="dxa"/>
          </w:tblCellMar>
        </w:tblPrEx>
        <w:trPr>
          <w:trHeight w:val="1410" w:hRule="atLeast"/>
          <w:jc w:val="center"/>
        </w:trPr>
        <w:tc>
          <w:tcPr>
            <w:tcW w:w="14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42.7669</w:t>
            </w:r>
          </w:p>
        </w:tc>
        <w:tc>
          <w:tcPr>
            <w:tcW w:w="1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39.6305</w:t>
            </w:r>
          </w:p>
        </w:tc>
        <w:tc>
          <w:tcPr>
            <w:tcW w:w="15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 xml:space="preserve">92.67 </w:t>
            </w:r>
          </w:p>
        </w:tc>
        <w:tc>
          <w:tcPr>
            <w:tcW w:w="19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3.1364</w:t>
            </w:r>
          </w:p>
        </w:tc>
        <w:tc>
          <w:tcPr>
            <w:tcW w:w="15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 xml:space="preserve">7.33 </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　</w:t>
            </w:r>
          </w:p>
        </w:tc>
        <w:tc>
          <w:tcPr>
            <w:tcW w:w="19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　</w:t>
            </w:r>
          </w:p>
        </w:tc>
      </w:tr>
    </w:tbl>
    <w:p>
      <w:pPr>
        <w:adjustRightInd w:val="0"/>
        <w:snapToGrid w:val="0"/>
        <w:spacing w:line="360" w:lineRule="auto"/>
        <w:ind w:firstLine="12800" w:firstLineChars="4000"/>
        <w:rPr>
          <w:rFonts w:ascii="仿宋_GB2312" w:eastAsia="仿宋_GB2312"/>
          <w:sz w:val="32"/>
          <w:szCs w:val="32"/>
        </w:rPr>
        <w:sectPr>
          <w:pgSz w:w="16838" w:h="11906" w:orient="landscape"/>
          <w:pgMar w:top="1800" w:right="1440" w:bottom="1800" w:left="1440" w:header="851" w:footer="992" w:gutter="0"/>
          <w:cols w:space="425" w:num="1"/>
          <w:docGrid w:type="lines" w:linePitch="312" w:charSpace="0"/>
        </w:sectPr>
      </w:pPr>
    </w:p>
    <w:p>
      <w:pPr>
        <w:pStyle w:val="4"/>
        <w:spacing w:before="0" w:after="0" w:line="600" w:lineRule="exact"/>
        <w:ind w:firstLine="643" w:firstLineChars="200"/>
        <w:rPr>
          <w:rFonts w:ascii="楷体_GB2312" w:eastAsia="楷体_GB2312"/>
          <w:kern w:val="0"/>
        </w:rPr>
      </w:pPr>
      <w:bookmarkStart w:id="191" w:name="_Toc2342"/>
      <w:bookmarkStart w:id="192" w:name="_Toc2807"/>
      <w:bookmarkStart w:id="193" w:name="_Toc64641636"/>
      <w:r>
        <w:rPr>
          <w:rFonts w:hint="eastAsia" w:ascii="楷体_GB2312" w:eastAsia="楷体_GB2312"/>
          <w:kern w:val="0"/>
        </w:rPr>
        <w:t>附图1</w:t>
      </w:r>
      <w:bookmarkEnd w:id="191"/>
      <w:bookmarkEnd w:id="192"/>
      <w:bookmarkEnd w:id="193"/>
    </w:p>
    <w:p>
      <w:pPr>
        <w:adjustRightInd w:val="0"/>
        <w:snapToGrid w:val="0"/>
        <w:spacing w:line="360" w:lineRule="auto"/>
        <w:rPr>
          <w:rFonts w:ascii="仿宋_GB2312" w:eastAsia="仿宋_GB2312"/>
          <w:sz w:val="32"/>
          <w:szCs w:val="32"/>
        </w:rPr>
      </w:pPr>
      <w:r>
        <w:rPr>
          <w:rFonts w:ascii="仿宋_GB2312" w:eastAsia="仿宋_GB2312"/>
          <w:sz w:val="32"/>
          <w:szCs w:val="32"/>
        </w:rPr>
        <w:drawing>
          <wp:inline distT="0" distB="0" distL="0" distR="0">
            <wp:extent cx="6270625" cy="8484235"/>
            <wp:effectExtent l="19050" t="0" r="0" b="0"/>
            <wp:docPr id="9" name="图片 5" descr="\\Pc-20201116rvvh\用地共享\2021农转用\成片土地开发\洛江区2021年度第一批次土地征收成片开发方案征求意见\位置示意图20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Pc-20201116rvvh\用地共享\2021农转用\成片土地开发\洛江区2021年度第一批次土地征收成片开发方案征求意见\位置示意图202101.jpg"/>
                    <pic:cNvPicPr>
                      <a:picLocks noChangeAspect="1" noChangeArrowheads="1"/>
                    </pic:cNvPicPr>
                  </pic:nvPicPr>
                  <pic:blipFill>
                    <a:blip r:embed="rId5" cstate="print"/>
                    <a:srcRect l="3878" t="3763" b="4260"/>
                    <a:stretch>
                      <a:fillRect/>
                    </a:stretch>
                  </pic:blipFill>
                  <pic:spPr>
                    <a:xfrm>
                      <a:off x="0" y="0"/>
                      <a:ext cx="6283141" cy="8500864"/>
                    </a:xfrm>
                    <a:prstGeom prst="rect">
                      <a:avLst/>
                    </a:prstGeom>
                    <a:noFill/>
                    <a:ln w="9525">
                      <a:noFill/>
                      <a:miter lim="800000"/>
                      <a:headEnd/>
                      <a:tailEnd/>
                    </a:ln>
                  </pic:spPr>
                </pic:pic>
              </a:graphicData>
            </a:graphic>
          </wp:inline>
        </w:drawing>
      </w:r>
    </w:p>
    <w:p>
      <w:pPr>
        <w:pStyle w:val="4"/>
        <w:spacing w:before="0" w:after="0" w:line="600" w:lineRule="exact"/>
        <w:ind w:firstLine="643" w:firstLineChars="200"/>
        <w:rPr>
          <w:rFonts w:ascii="楷体_GB2312" w:eastAsia="楷体_GB2312"/>
          <w:kern w:val="0"/>
        </w:rPr>
      </w:pPr>
      <w:bookmarkStart w:id="194" w:name="_Toc8121"/>
      <w:bookmarkStart w:id="195" w:name="_Toc17099"/>
      <w:bookmarkStart w:id="196" w:name="_Toc64641637"/>
      <w:r>
        <w:rPr>
          <w:rFonts w:hint="eastAsia" w:ascii="楷体_GB2312" w:eastAsia="楷体_GB2312"/>
          <w:kern w:val="0"/>
        </w:rPr>
        <w:t>附图2</w:t>
      </w:r>
      <w:bookmarkEnd w:id="194"/>
      <w:bookmarkEnd w:id="195"/>
      <w:bookmarkEnd w:id="196"/>
    </w:p>
    <w:p>
      <w:pPr>
        <w:adjustRightInd w:val="0"/>
        <w:snapToGrid w:val="0"/>
        <w:spacing w:line="360" w:lineRule="auto"/>
        <w:jc w:val="left"/>
        <w:rPr>
          <w:rFonts w:ascii="仿宋_GB2312" w:eastAsia="仿宋_GB2312"/>
          <w:sz w:val="32"/>
          <w:szCs w:val="32"/>
        </w:rPr>
      </w:pPr>
      <w:r>
        <w:rPr>
          <w:rFonts w:ascii="仿宋_GB2312" w:eastAsia="仿宋_GB2312"/>
          <w:sz w:val="32"/>
          <w:szCs w:val="32"/>
        </w:rPr>
        <w:drawing>
          <wp:inline distT="0" distB="0" distL="0" distR="0">
            <wp:extent cx="5732780" cy="8350885"/>
            <wp:effectExtent l="0" t="0" r="1270" b="12065"/>
            <wp:docPr id="7" name="图片 3" descr="\\Pc-20201116rvvh\用地共享\2021农转用\成片土地开发\洛江区2021年度第一批次土地征收成片开发方案征求意见\202101CP现状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Pc-20201116rvvh\用地共享\2021农转用\成片土地开发\洛江区2021年度第一批次土地征收成片开发方案征求意见\202101CP现状图.jpg"/>
                    <pic:cNvPicPr>
                      <a:picLocks noChangeAspect="1" noChangeArrowheads="1"/>
                    </pic:cNvPicPr>
                  </pic:nvPicPr>
                  <pic:blipFill>
                    <a:blip r:embed="rId6" cstate="print"/>
                    <a:srcRect l="9929" t="5292" r="4511" b="6407"/>
                    <a:stretch>
                      <a:fillRect/>
                    </a:stretch>
                  </pic:blipFill>
                  <pic:spPr>
                    <a:xfrm>
                      <a:off x="0" y="0"/>
                      <a:ext cx="5732780" cy="8350885"/>
                    </a:xfrm>
                    <a:prstGeom prst="rect">
                      <a:avLst/>
                    </a:prstGeom>
                    <a:noFill/>
                    <a:ln w="9525">
                      <a:noFill/>
                      <a:miter lim="800000"/>
                      <a:headEnd/>
                      <a:tailEnd/>
                    </a:ln>
                  </pic:spPr>
                </pic:pic>
              </a:graphicData>
            </a:graphic>
          </wp:inline>
        </w:drawing>
      </w:r>
    </w:p>
    <w:p>
      <w:pPr>
        <w:pStyle w:val="4"/>
        <w:spacing w:before="0" w:after="0" w:line="600" w:lineRule="exact"/>
        <w:ind w:firstLine="643" w:firstLineChars="200"/>
        <w:rPr>
          <w:rFonts w:ascii="楷体_GB2312" w:eastAsia="楷体_GB2312"/>
          <w:kern w:val="0"/>
        </w:rPr>
      </w:pPr>
      <w:bookmarkStart w:id="197" w:name="_Toc16052"/>
      <w:bookmarkStart w:id="198" w:name="_Toc24557"/>
      <w:bookmarkStart w:id="199" w:name="_Toc64641638"/>
      <w:r>
        <w:rPr>
          <w:rFonts w:hint="eastAsia" w:ascii="楷体_GB2312" w:eastAsia="楷体_GB2312"/>
          <w:kern w:val="0"/>
        </w:rPr>
        <w:t>附图3</w:t>
      </w:r>
      <w:bookmarkEnd w:id="197"/>
      <w:bookmarkEnd w:id="198"/>
      <w:bookmarkEnd w:id="199"/>
    </w:p>
    <w:p>
      <w:pPr>
        <w:adjustRightInd w:val="0"/>
        <w:snapToGrid w:val="0"/>
        <w:spacing w:line="360" w:lineRule="auto"/>
        <w:jc w:val="center"/>
        <w:rPr>
          <w:rFonts w:ascii="仿宋_GB2312" w:eastAsia="仿宋_GB2312"/>
          <w:sz w:val="32"/>
          <w:szCs w:val="32"/>
        </w:rPr>
      </w:pPr>
      <w:r>
        <w:rPr>
          <w:rFonts w:ascii="仿宋_GB2312" w:eastAsia="仿宋_GB2312"/>
          <w:sz w:val="32"/>
          <w:szCs w:val="32"/>
        </w:rPr>
        <w:drawing>
          <wp:inline distT="0" distB="0" distL="0" distR="0">
            <wp:extent cx="6308090" cy="8580120"/>
            <wp:effectExtent l="19050" t="0" r="0" b="0"/>
            <wp:docPr id="8" name="图片 4" descr="\\Pc-20201116rvvh\用地共享\2021农转用\成片土地开发\洛江区2021年度第一批次土地征收成片开发方案征求意见\公益性用地分布图20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Pc-20201116rvvh\用地共享\2021农转用\成片土地开发\洛江区2021年度第一批次土地征收成片开发方案征求意见\公益性用地分布图202101.jpg"/>
                    <pic:cNvPicPr>
                      <a:picLocks noChangeAspect="1" noChangeArrowheads="1"/>
                    </pic:cNvPicPr>
                  </pic:nvPicPr>
                  <pic:blipFill>
                    <a:blip r:embed="rId7" cstate="print"/>
                    <a:srcRect l="4428" t="3914" b="4095"/>
                    <a:stretch>
                      <a:fillRect/>
                    </a:stretch>
                  </pic:blipFill>
                  <pic:spPr>
                    <a:xfrm>
                      <a:off x="0" y="0"/>
                      <a:ext cx="6312199" cy="8585784"/>
                    </a:xfrm>
                    <a:prstGeom prst="rect">
                      <a:avLst/>
                    </a:prstGeom>
                    <a:noFill/>
                    <a:ln w="9525">
                      <a:noFill/>
                      <a:miter lim="800000"/>
                      <a:headEnd/>
                      <a:tailEnd/>
                    </a:ln>
                  </pic:spPr>
                </pic:pic>
              </a:graphicData>
            </a:graphic>
          </wp:inline>
        </w:drawing>
      </w:r>
    </w:p>
    <w:p>
      <w:pPr>
        <w:pStyle w:val="4"/>
        <w:spacing w:before="0" w:after="0" w:line="600" w:lineRule="exact"/>
        <w:ind w:firstLine="643" w:firstLineChars="200"/>
        <w:rPr>
          <w:rFonts w:ascii="楷体_GB2312" w:eastAsia="楷体_GB2312"/>
          <w:kern w:val="0"/>
        </w:rPr>
      </w:pPr>
      <w:bookmarkStart w:id="200" w:name="_Toc64641639"/>
      <w:bookmarkStart w:id="201" w:name="_Toc29035"/>
      <w:bookmarkStart w:id="202" w:name="_Toc1156"/>
      <w:r>
        <w:rPr>
          <w:rFonts w:hint="eastAsia" w:ascii="楷体_GB2312" w:eastAsia="楷体_GB2312"/>
          <w:kern w:val="0"/>
        </w:rPr>
        <w:t>附图4</w:t>
      </w:r>
      <w:bookmarkEnd w:id="200"/>
      <w:bookmarkEnd w:id="201"/>
      <w:bookmarkEnd w:id="202"/>
    </w:p>
    <w:p>
      <w:pPr>
        <w:rPr>
          <w:rFonts w:ascii="仿宋_GB2312" w:eastAsia="仿宋_GB2312"/>
        </w:rPr>
      </w:pPr>
      <w:r>
        <w:rPr>
          <w:rFonts w:ascii="仿宋_GB2312" w:eastAsia="仿宋_GB2312"/>
        </w:rPr>
        <w:drawing>
          <wp:anchor distT="0" distB="0" distL="114300" distR="114300" simplePos="0" relativeHeight="251662336" behindDoc="0" locked="0" layoutInCell="1" allowOverlap="1">
            <wp:simplePos x="0" y="0"/>
            <wp:positionH relativeFrom="column">
              <wp:posOffset>508000</wp:posOffset>
            </wp:positionH>
            <wp:positionV relativeFrom="paragraph">
              <wp:posOffset>357505</wp:posOffset>
            </wp:positionV>
            <wp:extent cx="5481955" cy="8606790"/>
            <wp:effectExtent l="0" t="0" r="4445" b="3810"/>
            <wp:wrapSquare wrapText="bothSides"/>
            <wp:docPr id="6" name="图片 2" descr="\\Pc-20201116rvvh\用地共享\2021农转用\成片土地开发\洛江区2021年度第一批次土地征收成片开发方案征求意见\202101CP土地利用总体规划范围示意图4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Pc-20201116rvvh\用地共享\2021农转用\成片土地开发\洛江区2021年度第一批次土地征收成片开发方案征求意见\202101CP土地利用总体规划范围示意图4080.jpg"/>
                    <pic:cNvPicPr>
                      <a:picLocks noChangeAspect="1" noChangeArrowheads="1"/>
                    </pic:cNvPicPr>
                  </pic:nvPicPr>
                  <pic:blipFill>
                    <a:blip r:embed="rId8" cstate="print"/>
                    <a:srcRect l="12229" t="2493" r="3834" b="4432"/>
                    <a:stretch>
                      <a:fillRect/>
                    </a:stretch>
                  </pic:blipFill>
                  <pic:spPr>
                    <a:xfrm>
                      <a:off x="0" y="0"/>
                      <a:ext cx="5481955" cy="8606790"/>
                    </a:xfrm>
                    <a:prstGeom prst="rect">
                      <a:avLst/>
                    </a:prstGeom>
                    <a:noFill/>
                    <a:ln w="9525">
                      <a:noFill/>
                      <a:miter lim="800000"/>
                      <a:headEnd/>
                      <a:tailEnd/>
                    </a:ln>
                  </pic:spPr>
                </pic:pic>
              </a:graphicData>
            </a:graphic>
          </wp:anchor>
        </w:drawing>
      </w:r>
      <w:bookmarkStart w:id="203" w:name="_Toc21559"/>
      <w:bookmarkStart w:id="204" w:name="_Toc64641640"/>
    </w:p>
    <w:p>
      <w:pPr>
        <w:pStyle w:val="4"/>
        <w:spacing w:before="0" w:after="0" w:line="600" w:lineRule="exact"/>
        <w:ind w:firstLine="643" w:firstLineChars="200"/>
      </w:pPr>
      <w:r>
        <w:rPr>
          <w:rFonts w:hint="eastAsia" w:ascii="楷体_GB2312" w:eastAsia="楷体_GB2312"/>
          <w:kern w:val="0"/>
        </w:rPr>
        <w:t>附图5</w:t>
      </w:r>
      <w:bookmarkEnd w:id="203"/>
      <w:bookmarkEnd w:id="204"/>
    </w:p>
    <w:p>
      <w:pPr>
        <w:adjustRightInd w:val="0"/>
        <w:snapToGrid w:val="0"/>
        <w:spacing w:line="360" w:lineRule="auto"/>
        <w:jc w:val="center"/>
        <w:rPr>
          <w:rFonts w:ascii="宋体" w:hAnsi="宋体" w:eastAsia="宋体" w:cs="宋体"/>
          <w:b/>
          <w:bCs/>
          <w:color w:val="000000"/>
          <w:kern w:val="0"/>
          <w:sz w:val="28"/>
          <w:szCs w:val="28"/>
        </w:rPr>
      </w:pPr>
      <w:r>
        <w:rPr>
          <w:rFonts w:ascii="仿宋_GB2312" w:eastAsia="仿宋_GB2312"/>
          <w:sz w:val="32"/>
          <w:szCs w:val="32"/>
        </w:rPr>
        <w:drawing>
          <wp:inline distT="0" distB="0" distL="0" distR="0">
            <wp:extent cx="6043295" cy="8313420"/>
            <wp:effectExtent l="0" t="0" r="14605" b="11430"/>
            <wp:docPr id="5" name="图片 1" descr="\\Pc-20201116rvvh\用地共享\2021农转用\成片土地开发\洛江区2021年度第一批次土地征收成片开发方案征求意见\城乡规划范围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Pc-20201116rvvh\用地共享\2021农转用\成片土地开发\洛江区2021年度第一批次土地征收成片开发方案征求意见\城乡规划范围示意图.jpg"/>
                    <pic:cNvPicPr>
                      <a:picLocks noChangeAspect="1" noChangeArrowheads="1"/>
                    </pic:cNvPicPr>
                  </pic:nvPicPr>
                  <pic:blipFill>
                    <a:blip r:embed="rId9" cstate="print"/>
                    <a:srcRect l="4329" t="5205" r="2882" b="4110"/>
                    <a:stretch>
                      <a:fillRect/>
                    </a:stretch>
                  </pic:blipFill>
                  <pic:spPr>
                    <a:xfrm>
                      <a:off x="0" y="0"/>
                      <a:ext cx="6043295" cy="8313420"/>
                    </a:xfrm>
                    <a:prstGeom prst="rect">
                      <a:avLst/>
                    </a:prstGeom>
                    <a:noFill/>
                    <a:ln w="9525">
                      <a:noFill/>
                      <a:miter lim="800000"/>
                      <a:headEnd/>
                      <a:tailEnd/>
                    </a:ln>
                  </pic:spPr>
                </pic:pic>
              </a:graphicData>
            </a:graphic>
          </wp:inline>
        </w:drawing>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Lucida Sans Unicode">
    <w:panose1 w:val="020B0602030504020204"/>
    <w:charset w:val="00"/>
    <w:family w:val="swiss"/>
    <w:pitch w:val="default"/>
    <w:sig w:usb0="80001AFF" w:usb1="0000396B" w:usb2="00000000" w:usb3="00000000" w:csb0="200000BF" w:csb1="D7F7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Segoe UI">
    <w:panose1 w:val="020B0502040204020203"/>
    <w:charset w:val="00"/>
    <w:family w:val="swiss"/>
    <w:pitch w:val="default"/>
    <w:sig w:usb0="E10022FF" w:usb1="C000E47F" w:usb2="00000029" w:usb3="00000000" w:csb0="200001DF" w:csb1="20000000"/>
  </w:font>
  <w:font w:name="等线">
    <w:altName w:val="微软雅黑"/>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000303"/>
    </w:sdtPr>
    <w:sdtContent>
      <w:p>
        <w:pPr>
          <w:pStyle w:val="8"/>
          <w:jc w:val="center"/>
        </w:pPr>
        <w:r>
          <w:fldChar w:fldCharType="begin"/>
        </w:r>
        <w:r>
          <w:instrText xml:space="preserve"> PAGE   \* MERGEFORMAT </w:instrText>
        </w:r>
        <w:r>
          <w:fldChar w:fldCharType="separate"/>
        </w:r>
        <w:r>
          <w:rPr>
            <w:lang w:val="zh-CN"/>
          </w:rPr>
          <w:t>3</w:t>
        </w:r>
        <w:r>
          <w:rPr>
            <w:lang w:val="zh-CN"/>
          </w:rPr>
          <w:fldChar w:fldCharType="end"/>
        </w:r>
      </w:p>
    </w:sdtContent>
  </w:sdt>
  <w:p>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113F8"/>
    <w:rsid w:val="000061FA"/>
    <w:rsid w:val="000C5DF2"/>
    <w:rsid w:val="000C7962"/>
    <w:rsid w:val="00154312"/>
    <w:rsid w:val="001563E0"/>
    <w:rsid w:val="00180974"/>
    <w:rsid w:val="001A3A49"/>
    <w:rsid w:val="00212186"/>
    <w:rsid w:val="002211E5"/>
    <w:rsid w:val="00222B27"/>
    <w:rsid w:val="00264B1F"/>
    <w:rsid w:val="002A108C"/>
    <w:rsid w:val="002B6382"/>
    <w:rsid w:val="002E787F"/>
    <w:rsid w:val="00313677"/>
    <w:rsid w:val="0031430B"/>
    <w:rsid w:val="0031673F"/>
    <w:rsid w:val="00355DD9"/>
    <w:rsid w:val="00356F2F"/>
    <w:rsid w:val="003A5508"/>
    <w:rsid w:val="003C4601"/>
    <w:rsid w:val="003D7169"/>
    <w:rsid w:val="004001CC"/>
    <w:rsid w:val="00404DF7"/>
    <w:rsid w:val="004170B7"/>
    <w:rsid w:val="0046187B"/>
    <w:rsid w:val="00463382"/>
    <w:rsid w:val="004A4A09"/>
    <w:rsid w:val="004A5090"/>
    <w:rsid w:val="004B5877"/>
    <w:rsid w:val="004C6536"/>
    <w:rsid w:val="005113F8"/>
    <w:rsid w:val="00521B82"/>
    <w:rsid w:val="0052200A"/>
    <w:rsid w:val="0052414E"/>
    <w:rsid w:val="00530DB8"/>
    <w:rsid w:val="005749F3"/>
    <w:rsid w:val="00575F82"/>
    <w:rsid w:val="00577709"/>
    <w:rsid w:val="00585288"/>
    <w:rsid w:val="0058636A"/>
    <w:rsid w:val="005E7C23"/>
    <w:rsid w:val="005F0207"/>
    <w:rsid w:val="006374BE"/>
    <w:rsid w:val="00637D97"/>
    <w:rsid w:val="00652759"/>
    <w:rsid w:val="00654FB3"/>
    <w:rsid w:val="00674B3E"/>
    <w:rsid w:val="006849DA"/>
    <w:rsid w:val="006A105E"/>
    <w:rsid w:val="006E7A57"/>
    <w:rsid w:val="00711491"/>
    <w:rsid w:val="00713223"/>
    <w:rsid w:val="007153FA"/>
    <w:rsid w:val="00746682"/>
    <w:rsid w:val="007A62D3"/>
    <w:rsid w:val="007C3BEA"/>
    <w:rsid w:val="00826C6C"/>
    <w:rsid w:val="00843A06"/>
    <w:rsid w:val="0086016C"/>
    <w:rsid w:val="008708DF"/>
    <w:rsid w:val="008B0C9E"/>
    <w:rsid w:val="00931889"/>
    <w:rsid w:val="00985415"/>
    <w:rsid w:val="00986FF5"/>
    <w:rsid w:val="009877F0"/>
    <w:rsid w:val="009A2A97"/>
    <w:rsid w:val="009A34A8"/>
    <w:rsid w:val="009B1491"/>
    <w:rsid w:val="009D3305"/>
    <w:rsid w:val="009D7FFD"/>
    <w:rsid w:val="00A002CD"/>
    <w:rsid w:val="00A02FEF"/>
    <w:rsid w:val="00A35551"/>
    <w:rsid w:val="00A86B29"/>
    <w:rsid w:val="00AD1140"/>
    <w:rsid w:val="00AE23FC"/>
    <w:rsid w:val="00AF5215"/>
    <w:rsid w:val="00B01D1A"/>
    <w:rsid w:val="00BA765F"/>
    <w:rsid w:val="00BC71E5"/>
    <w:rsid w:val="00C14CF5"/>
    <w:rsid w:val="00C3589E"/>
    <w:rsid w:val="00C45945"/>
    <w:rsid w:val="00CA4885"/>
    <w:rsid w:val="00CC6988"/>
    <w:rsid w:val="00CE2CA1"/>
    <w:rsid w:val="00CE718A"/>
    <w:rsid w:val="00D61E3C"/>
    <w:rsid w:val="00D642F5"/>
    <w:rsid w:val="00D8316D"/>
    <w:rsid w:val="00D93D98"/>
    <w:rsid w:val="00DA36DD"/>
    <w:rsid w:val="00E00490"/>
    <w:rsid w:val="00E30289"/>
    <w:rsid w:val="00E45D35"/>
    <w:rsid w:val="00E86B6C"/>
    <w:rsid w:val="00E86D8C"/>
    <w:rsid w:val="00E960F0"/>
    <w:rsid w:val="00EA61CA"/>
    <w:rsid w:val="00ED52E7"/>
    <w:rsid w:val="00EE1033"/>
    <w:rsid w:val="00EE517B"/>
    <w:rsid w:val="00EE58B3"/>
    <w:rsid w:val="00EF291C"/>
    <w:rsid w:val="00FF223E"/>
    <w:rsid w:val="04064559"/>
    <w:rsid w:val="13980149"/>
    <w:rsid w:val="1A1B77C0"/>
    <w:rsid w:val="1E664C3A"/>
    <w:rsid w:val="26FC729D"/>
    <w:rsid w:val="322347AC"/>
    <w:rsid w:val="33166EAC"/>
    <w:rsid w:val="3B2F2B0A"/>
    <w:rsid w:val="561B0650"/>
    <w:rsid w:val="593D5519"/>
    <w:rsid w:val="5A434C6D"/>
    <w:rsid w:val="6520053E"/>
    <w:rsid w:val="77EC5CF9"/>
    <w:rsid w:val="7BF948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5"/>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Balloon Text"/>
    <w:basedOn w:val="1"/>
    <w:link w:val="19"/>
    <w:semiHidden/>
    <w:unhideWhenUsed/>
    <w:qFormat/>
    <w:uiPriority w:val="99"/>
    <w:rPr>
      <w:sz w:val="18"/>
      <w:szCs w:val="18"/>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jc w:val="left"/>
    </w:pPr>
    <w:rPr>
      <w:sz w:val="28"/>
    </w:rPr>
  </w:style>
  <w:style w:type="paragraph" w:styleId="11">
    <w:name w:val="toc 4"/>
    <w:basedOn w:val="1"/>
    <w:next w:val="1"/>
    <w:unhideWhenUsed/>
    <w:qFormat/>
    <w:uiPriority w:val="39"/>
    <w:pPr>
      <w:ind w:left="1260" w:leftChars="600"/>
    </w:pPr>
  </w:style>
  <w:style w:type="paragraph" w:styleId="12">
    <w:name w:val="toc 2"/>
    <w:basedOn w:val="1"/>
    <w:next w:val="1"/>
    <w:unhideWhenUsed/>
    <w:qFormat/>
    <w:uiPriority w:val="39"/>
    <w:pPr>
      <w:widowControl/>
      <w:spacing w:after="100" w:line="276" w:lineRule="auto"/>
      <w:ind w:left="220"/>
      <w:jc w:val="left"/>
    </w:pPr>
    <w:rPr>
      <w:kern w:val="0"/>
      <w:sz w:val="22"/>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6">
    <w:name w:val="Hyperlink"/>
    <w:basedOn w:val="15"/>
    <w:unhideWhenUsed/>
    <w:qFormat/>
    <w:uiPriority w:val="99"/>
    <w:rPr>
      <w:color w:val="0563C1" w:themeColor="hyperlink"/>
      <w:u w:val="single"/>
    </w:rPr>
  </w:style>
  <w:style w:type="character" w:customStyle="1" w:styleId="17">
    <w:name w:val="页眉 字符"/>
    <w:basedOn w:val="15"/>
    <w:link w:val="9"/>
    <w:semiHidden/>
    <w:qFormat/>
    <w:uiPriority w:val="99"/>
    <w:rPr>
      <w:sz w:val="18"/>
      <w:szCs w:val="18"/>
    </w:rPr>
  </w:style>
  <w:style w:type="character" w:customStyle="1" w:styleId="18">
    <w:name w:val="页脚 字符"/>
    <w:basedOn w:val="15"/>
    <w:link w:val="8"/>
    <w:qFormat/>
    <w:uiPriority w:val="99"/>
    <w:rPr>
      <w:sz w:val="18"/>
      <w:szCs w:val="18"/>
    </w:rPr>
  </w:style>
  <w:style w:type="character" w:customStyle="1" w:styleId="19">
    <w:name w:val="批注框文本 字符"/>
    <w:basedOn w:val="15"/>
    <w:link w:val="7"/>
    <w:semiHidden/>
    <w:qFormat/>
    <w:uiPriority w:val="99"/>
    <w:rPr>
      <w:sz w:val="18"/>
      <w:szCs w:val="18"/>
    </w:rPr>
  </w:style>
  <w:style w:type="paragraph" w:customStyle="1" w:styleId="20">
    <w:name w:val="WPSOffice手动目录 1"/>
    <w:qFormat/>
    <w:uiPriority w:val="0"/>
    <w:rPr>
      <w:rFonts w:asciiTheme="minorHAnsi" w:hAnsiTheme="minorHAnsi" w:eastAsiaTheme="minorEastAsia" w:cstheme="minorBidi"/>
      <w:lang w:val="en-US" w:eastAsia="zh-CN" w:bidi="ar-SA"/>
    </w:rPr>
  </w:style>
  <w:style w:type="character" w:customStyle="1" w:styleId="21">
    <w:name w:val="标题 4 字符"/>
    <w:basedOn w:val="15"/>
    <w:link w:val="5"/>
    <w:qFormat/>
    <w:uiPriority w:val="9"/>
    <w:rPr>
      <w:rFonts w:asciiTheme="majorHAnsi" w:hAnsiTheme="majorHAnsi" w:eastAsiaTheme="majorEastAsia" w:cstheme="majorBidi"/>
      <w:b/>
      <w:bCs/>
      <w:kern w:val="2"/>
      <w:sz w:val="28"/>
      <w:szCs w:val="28"/>
    </w:rPr>
  </w:style>
  <w:style w:type="character" w:customStyle="1" w:styleId="22">
    <w:name w:val="标题 1 字符"/>
    <w:basedOn w:val="15"/>
    <w:link w:val="2"/>
    <w:qFormat/>
    <w:uiPriority w:val="9"/>
    <w:rPr>
      <w:b/>
      <w:bCs/>
      <w:kern w:val="44"/>
      <w:sz w:val="44"/>
      <w:szCs w:val="44"/>
    </w:rPr>
  </w:style>
  <w:style w:type="paragraph" w:customStyle="1" w:styleId="23">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2F5496" w:themeColor="accent1" w:themeShade="BF"/>
      <w:kern w:val="0"/>
      <w:sz w:val="28"/>
      <w:szCs w:val="28"/>
    </w:rPr>
  </w:style>
  <w:style w:type="character" w:customStyle="1" w:styleId="24">
    <w:name w:val="标题 2 字符"/>
    <w:basedOn w:val="15"/>
    <w:link w:val="3"/>
    <w:qFormat/>
    <w:uiPriority w:val="9"/>
    <w:rPr>
      <w:rFonts w:asciiTheme="majorHAnsi" w:hAnsiTheme="majorHAnsi" w:eastAsiaTheme="majorEastAsia" w:cstheme="majorBidi"/>
      <w:b/>
      <w:bCs/>
      <w:kern w:val="2"/>
      <w:sz w:val="32"/>
      <w:szCs w:val="32"/>
    </w:rPr>
  </w:style>
  <w:style w:type="character" w:customStyle="1" w:styleId="25">
    <w:name w:val="标题 3 字符"/>
    <w:basedOn w:val="15"/>
    <w:link w:val="4"/>
    <w:qFormat/>
    <w:uiPriority w:val="9"/>
    <w:rPr>
      <w:b/>
      <w:bCs/>
      <w:kern w:val="2"/>
      <w:sz w:val="32"/>
      <w:szCs w:val="32"/>
    </w:rPr>
  </w:style>
  <w:style w:type="paragraph" w:customStyle="1" w:styleId="26">
    <w:name w:val="TOC 标题2"/>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F5496"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聚合">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5CCAD3-AA07-4A59-AAFA-2CBAB077FD3D}">
  <ds:schemaRefs/>
</ds:datastoreItem>
</file>

<file path=docProps/app.xml><?xml version="1.0" encoding="utf-8"?>
<Properties xmlns="http://schemas.openxmlformats.org/officeDocument/2006/extended-properties" xmlns:vt="http://schemas.openxmlformats.org/officeDocument/2006/docPropsVTypes">
  <Template>Normal</Template>
  <Pages>22</Pages>
  <Words>1340</Words>
  <Characters>7641</Characters>
  <Lines>63</Lines>
  <Paragraphs>17</Paragraphs>
  <TotalTime>38</TotalTime>
  <ScaleCrop>false</ScaleCrop>
  <LinksUpToDate>false</LinksUpToDate>
  <CharactersWithSpaces>8964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2021-02-19T07:43:00Z</dcterms:created>
  <dc:creator>laizf</dc:creator>
  <cp:lastModifiedBy>Ling儿姐姐</cp:lastModifiedBy>
  <cp:lastPrinted>2021-02-19T02:36:00Z</cp:lastPrinted>
  <dcterms:modified xsi:type="dcterms:W3CDTF">2021-02-19T09:25:30Z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