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Y="158"/>
        <w:tblW w:w="9521" w:type="dxa"/>
        <w:tblInd w:w="0" w:type="dxa"/>
        <w:tblLayout w:type="fixed"/>
        <w:tblCellMar>
          <w:top w:w="0" w:type="dxa"/>
          <w:left w:w="108" w:type="dxa"/>
          <w:bottom w:w="0" w:type="dxa"/>
          <w:right w:w="108" w:type="dxa"/>
        </w:tblCellMar>
      </w:tblPr>
      <w:tblGrid>
        <w:gridCol w:w="747"/>
        <w:gridCol w:w="3981"/>
        <w:gridCol w:w="1713"/>
        <w:gridCol w:w="1485"/>
        <w:gridCol w:w="1595"/>
      </w:tblGrid>
      <w:tr>
        <w:tblPrEx>
          <w:tblCellMar>
            <w:top w:w="0" w:type="dxa"/>
            <w:left w:w="108" w:type="dxa"/>
            <w:bottom w:w="0" w:type="dxa"/>
            <w:right w:w="108" w:type="dxa"/>
          </w:tblCellMar>
        </w:tblPrEx>
        <w:trPr>
          <w:trHeight w:val="917" w:hRule="atLeast"/>
        </w:trPr>
        <w:tc>
          <w:tcPr>
            <w:tcW w:w="9521" w:type="dxa"/>
            <w:gridSpan w:val="5"/>
            <w:tcBorders>
              <w:top w:val="nil"/>
              <w:left w:val="nil"/>
              <w:bottom w:val="single" w:color="auto" w:sz="4" w:space="0"/>
              <w:right w:val="nil"/>
            </w:tcBorders>
            <w:vAlign w:val="center"/>
          </w:tcPr>
          <w:p>
            <w:pPr>
              <w:spacing w:line="580" w:lineRule="exact"/>
              <w:rPr>
                <w:rFonts w:ascii="黑体" w:hAnsi="黑体" w:eastAsia="黑体" w:cs="宋体"/>
                <w:kern w:val="0"/>
                <w:sz w:val="32"/>
                <w:szCs w:val="32"/>
              </w:rPr>
            </w:pPr>
            <w:r>
              <w:rPr>
                <w:rFonts w:hint="eastAsia" w:ascii="黑体" w:hAnsi="黑体" w:eastAsia="黑体" w:cs="宋体"/>
                <w:kern w:val="0"/>
                <w:sz w:val="32"/>
                <w:szCs w:val="32"/>
              </w:rPr>
              <w:t>附件</w:t>
            </w:r>
            <w:r>
              <w:rPr>
                <w:rFonts w:ascii="黑体" w:hAnsi="黑体" w:eastAsia="黑体" w:cs="宋体"/>
                <w:kern w:val="0"/>
                <w:sz w:val="32"/>
                <w:szCs w:val="32"/>
              </w:rPr>
              <w:t>1</w:t>
            </w:r>
          </w:p>
          <w:p>
            <w:pPr>
              <w:widowControl/>
              <w:spacing w:line="520" w:lineRule="exact"/>
              <w:jc w:val="center"/>
              <w:rPr>
                <w:rFonts w:ascii="方正小标宋简体" w:hAnsi="黑体" w:eastAsia="方正小标宋简体" w:cs="宋体"/>
                <w:kern w:val="0"/>
                <w:sz w:val="44"/>
                <w:szCs w:val="44"/>
              </w:rPr>
            </w:pPr>
            <w:r>
              <w:rPr>
                <w:rFonts w:hint="eastAsia" w:ascii="方正小标宋简体" w:hAnsi="黑体" w:eastAsia="方正小标宋简体" w:cs="宋体"/>
                <w:kern w:val="0"/>
                <w:sz w:val="44"/>
                <w:szCs w:val="44"/>
              </w:rPr>
              <w:t>病死猪无害化处理设施建设补助标准</w:t>
            </w:r>
          </w:p>
          <w:p>
            <w:pPr>
              <w:widowControl/>
              <w:spacing w:line="520" w:lineRule="exact"/>
              <w:jc w:val="center"/>
              <w:rPr>
                <w:rFonts w:ascii="方正小标宋简体" w:eastAsia="方正小标宋简体"/>
                <w:bCs/>
                <w:sz w:val="44"/>
                <w:szCs w:val="44"/>
              </w:rPr>
            </w:pPr>
          </w:p>
        </w:tc>
      </w:tr>
      <w:tr>
        <w:tblPrEx>
          <w:tblCellMar>
            <w:top w:w="0" w:type="dxa"/>
            <w:left w:w="108" w:type="dxa"/>
            <w:bottom w:w="0" w:type="dxa"/>
            <w:right w:w="108" w:type="dxa"/>
          </w:tblCellMar>
        </w:tblPrEx>
        <w:trPr>
          <w:trHeight w:val="479" w:hRule="atLeast"/>
        </w:trPr>
        <w:tc>
          <w:tcPr>
            <w:tcW w:w="747" w:type="dxa"/>
            <w:vMerge w:val="restart"/>
            <w:tcBorders>
              <w:top w:val="nil"/>
              <w:left w:val="single" w:color="auto" w:sz="4" w:space="0"/>
              <w:right w:val="single" w:color="auto" w:sz="4" w:space="0"/>
            </w:tcBorders>
            <w:vAlign w:val="center"/>
          </w:tcPr>
          <w:p>
            <w:pPr>
              <w:widowControl/>
              <w:spacing w:line="240" w:lineRule="exact"/>
              <w:jc w:val="center"/>
              <w:rPr>
                <w:rFonts w:eastAsia="方正仿宋简体"/>
                <w:b/>
                <w:bCs/>
                <w:sz w:val="24"/>
              </w:rPr>
            </w:pPr>
            <w:r>
              <w:rPr>
                <w:rFonts w:hint="eastAsia" w:eastAsia="方正仿宋简体"/>
                <w:b/>
                <w:bCs/>
                <w:sz w:val="24"/>
              </w:rPr>
              <w:t>序号</w:t>
            </w:r>
          </w:p>
        </w:tc>
        <w:tc>
          <w:tcPr>
            <w:tcW w:w="3981"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eastAsia="方正仿宋简体"/>
                <w:b/>
                <w:bCs/>
                <w:sz w:val="24"/>
              </w:rPr>
            </w:pPr>
            <w:r>
              <w:rPr>
                <w:rFonts w:hint="eastAsia" w:eastAsia="方正仿宋简体"/>
                <w:b/>
                <w:bCs/>
                <w:sz w:val="24"/>
              </w:rPr>
              <w:t>建设项目</w:t>
            </w:r>
          </w:p>
        </w:tc>
        <w:tc>
          <w:tcPr>
            <w:tcW w:w="4793" w:type="dxa"/>
            <w:gridSpan w:val="3"/>
            <w:tcBorders>
              <w:top w:val="single" w:color="auto" w:sz="4" w:space="0"/>
              <w:left w:val="nil"/>
              <w:bottom w:val="single" w:color="auto" w:sz="4" w:space="0"/>
              <w:right w:val="single" w:color="000000" w:sz="4" w:space="0"/>
            </w:tcBorders>
            <w:vAlign w:val="center"/>
          </w:tcPr>
          <w:p>
            <w:pPr>
              <w:widowControl/>
              <w:spacing w:line="240" w:lineRule="exact"/>
              <w:jc w:val="center"/>
              <w:rPr>
                <w:rFonts w:eastAsia="方正仿宋简体"/>
                <w:b/>
                <w:bCs/>
                <w:sz w:val="24"/>
              </w:rPr>
            </w:pPr>
            <w:r>
              <w:rPr>
                <w:rFonts w:hint="eastAsia" w:eastAsia="方正仿宋简体"/>
                <w:b/>
                <w:bCs/>
                <w:sz w:val="24"/>
              </w:rPr>
              <w:t>财政补助（万元）</w:t>
            </w:r>
          </w:p>
        </w:tc>
      </w:tr>
      <w:tr>
        <w:tblPrEx>
          <w:tblCellMar>
            <w:top w:w="0" w:type="dxa"/>
            <w:left w:w="108" w:type="dxa"/>
            <w:bottom w:w="0" w:type="dxa"/>
            <w:right w:w="108" w:type="dxa"/>
          </w:tblCellMar>
        </w:tblPrEx>
        <w:trPr>
          <w:trHeight w:val="479" w:hRule="atLeast"/>
        </w:trPr>
        <w:tc>
          <w:tcPr>
            <w:tcW w:w="747" w:type="dxa"/>
            <w:vMerge w:val="continue"/>
            <w:tcBorders>
              <w:left w:val="single" w:color="auto" w:sz="4" w:space="0"/>
              <w:bottom w:val="single" w:color="auto" w:sz="4" w:space="0"/>
              <w:right w:val="single" w:color="auto" w:sz="4" w:space="0"/>
            </w:tcBorders>
            <w:vAlign w:val="center"/>
          </w:tcPr>
          <w:p>
            <w:pPr>
              <w:widowControl/>
              <w:spacing w:line="240" w:lineRule="exact"/>
              <w:jc w:val="left"/>
              <w:rPr>
                <w:rFonts w:eastAsia="方正仿宋简体"/>
                <w:b/>
                <w:bCs/>
                <w:sz w:val="24"/>
              </w:rPr>
            </w:pPr>
          </w:p>
        </w:tc>
        <w:tc>
          <w:tcPr>
            <w:tcW w:w="3981" w:type="dxa"/>
            <w:vMerge w:val="continue"/>
            <w:tcBorders>
              <w:left w:val="single" w:color="auto" w:sz="4" w:space="0"/>
              <w:bottom w:val="single" w:color="auto" w:sz="4" w:space="0"/>
              <w:right w:val="single" w:color="auto" w:sz="4" w:space="0"/>
            </w:tcBorders>
            <w:vAlign w:val="center"/>
          </w:tcPr>
          <w:p>
            <w:pPr>
              <w:widowControl/>
              <w:spacing w:line="240" w:lineRule="exact"/>
              <w:jc w:val="left"/>
              <w:rPr>
                <w:rFonts w:eastAsia="方正仿宋简体"/>
                <w:b/>
                <w:bCs/>
                <w:sz w:val="24"/>
              </w:rPr>
            </w:pPr>
          </w:p>
        </w:tc>
        <w:tc>
          <w:tcPr>
            <w:tcW w:w="1713" w:type="dxa"/>
            <w:tcBorders>
              <w:top w:val="nil"/>
              <w:left w:val="nil"/>
              <w:bottom w:val="single" w:color="auto" w:sz="4" w:space="0"/>
              <w:right w:val="single" w:color="auto" w:sz="4" w:space="0"/>
            </w:tcBorders>
            <w:vAlign w:val="center"/>
          </w:tcPr>
          <w:p>
            <w:pPr>
              <w:widowControl/>
              <w:spacing w:line="240" w:lineRule="exact"/>
              <w:jc w:val="center"/>
              <w:rPr>
                <w:rFonts w:eastAsia="方正仿宋简体"/>
                <w:b/>
                <w:bCs/>
                <w:sz w:val="24"/>
              </w:rPr>
            </w:pPr>
            <w:r>
              <w:rPr>
                <w:rFonts w:hint="eastAsia" w:eastAsia="方正仿宋简体"/>
                <w:b/>
                <w:bCs/>
                <w:sz w:val="24"/>
              </w:rPr>
              <w:t>省级以上财政</w:t>
            </w:r>
          </w:p>
        </w:tc>
        <w:tc>
          <w:tcPr>
            <w:tcW w:w="1485" w:type="dxa"/>
            <w:tcBorders>
              <w:top w:val="nil"/>
              <w:left w:val="nil"/>
              <w:bottom w:val="single" w:color="auto" w:sz="4" w:space="0"/>
              <w:right w:val="single" w:color="auto" w:sz="4" w:space="0"/>
            </w:tcBorders>
            <w:vAlign w:val="center"/>
          </w:tcPr>
          <w:p>
            <w:pPr>
              <w:widowControl/>
              <w:spacing w:line="240" w:lineRule="exact"/>
              <w:jc w:val="center"/>
              <w:rPr>
                <w:rFonts w:eastAsia="方正仿宋简体"/>
                <w:b/>
                <w:bCs/>
                <w:sz w:val="24"/>
              </w:rPr>
            </w:pPr>
            <w:r>
              <w:rPr>
                <w:rFonts w:hint="eastAsia" w:eastAsia="方正仿宋简体"/>
                <w:b/>
                <w:bCs/>
                <w:sz w:val="24"/>
              </w:rPr>
              <w:t>市级财政</w:t>
            </w:r>
          </w:p>
        </w:tc>
        <w:tc>
          <w:tcPr>
            <w:tcW w:w="1595" w:type="dxa"/>
            <w:tcBorders>
              <w:top w:val="nil"/>
              <w:left w:val="nil"/>
              <w:bottom w:val="single" w:color="auto" w:sz="4" w:space="0"/>
              <w:right w:val="single" w:color="auto" w:sz="4" w:space="0"/>
            </w:tcBorders>
            <w:vAlign w:val="center"/>
          </w:tcPr>
          <w:p>
            <w:pPr>
              <w:widowControl/>
              <w:spacing w:line="240" w:lineRule="exact"/>
              <w:jc w:val="center"/>
              <w:rPr>
                <w:rFonts w:eastAsia="方正仿宋简体"/>
                <w:b/>
                <w:bCs/>
                <w:sz w:val="24"/>
              </w:rPr>
            </w:pPr>
            <w:r>
              <w:rPr>
                <w:rFonts w:hint="eastAsia" w:eastAsia="方正仿宋简体"/>
                <w:b/>
                <w:bCs/>
                <w:sz w:val="24"/>
              </w:rPr>
              <w:t>区级财政</w:t>
            </w:r>
          </w:p>
        </w:tc>
      </w:tr>
      <w:tr>
        <w:tblPrEx>
          <w:tblCellMar>
            <w:top w:w="0" w:type="dxa"/>
            <w:left w:w="108" w:type="dxa"/>
            <w:bottom w:w="0" w:type="dxa"/>
            <w:right w:w="108" w:type="dxa"/>
          </w:tblCellMar>
        </w:tblPrEx>
        <w:trPr>
          <w:trHeight w:val="737" w:hRule="atLeast"/>
        </w:trPr>
        <w:tc>
          <w:tcPr>
            <w:tcW w:w="747"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1</w:t>
            </w:r>
          </w:p>
        </w:tc>
        <w:tc>
          <w:tcPr>
            <w:tcW w:w="3981" w:type="dxa"/>
            <w:tcBorders>
              <w:top w:val="single" w:color="auto" w:sz="4" w:space="0"/>
              <w:left w:val="nil"/>
              <w:bottom w:val="single" w:color="auto" w:sz="4" w:space="0"/>
              <w:right w:val="single" w:color="auto" w:sz="4" w:space="0"/>
            </w:tcBorders>
            <w:vAlign w:val="center"/>
          </w:tcPr>
          <w:p>
            <w:pPr>
              <w:widowControl/>
              <w:spacing w:line="300" w:lineRule="exact"/>
              <w:rPr>
                <w:rFonts w:ascii="仿宋_GB2312" w:eastAsia="仿宋_GB2312"/>
                <w:sz w:val="28"/>
                <w:szCs w:val="28"/>
              </w:rPr>
            </w:pPr>
            <w:r>
              <w:rPr>
                <w:rFonts w:hint="eastAsia" w:ascii="仿宋_GB2312" w:eastAsia="仿宋_GB2312"/>
                <w:sz w:val="28"/>
                <w:szCs w:val="28"/>
              </w:rPr>
              <w:t>无害化处理厂（场）购置有效容积达</w:t>
            </w:r>
            <w:r>
              <w:rPr>
                <w:rFonts w:ascii="仿宋_GB2312" w:eastAsia="仿宋_GB2312"/>
                <w:sz w:val="28"/>
                <w:szCs w:val="28"/>
              </w:rPr>
              <w:t>20m</w:t>
            </w:r>
            <w:r>
              <w:rPr>
                <w:rFonts w:ascii="仿宋_GB2312" w:eastAsia="仿宋_GB2312"/>
                <w:sz w:val="28"/>
                <w:szCs w:val="28"/>
                <w:vertAlign w:val="superscript"/>
              </w:rPr>
              <w:t>3</w:t>
            </w:r>
            <w:r>
              <w:rPr>
                <w:rFonts w:hint="eastAsia" w:ascii="仿宋_GB2312" w:eastAsia="仿宋_GB2312"/>
                <w:sz w:val="28"/>
                <w:szCs w:val="28"/>
              </w:rPr>
              <w:t>以上（或一次处理能力达</w:t>
            </w:r>
            <w:r>
              <w:rPr>
                <w:rFonts w:ascii="仿宋_GB2312" w:eastAsia="仿宋_GB2312"/>
                <w:sz w:val="28"/>
                <w:szCs w:val="28"/>
              </w:rPr>
              <w:t>10</w:t>
            </w:r>
            <w:r>
              <w:rPr>
                <w:rFonts w:hint="eastAsia" w:ascii="仿宋_GB2312" w:eastAsia="仿宋_GB2312"/>
                <w:sz w:val="28"/>
                <w:szCs w:val="28"/>
              </w:rPr>
              <w:t>吨以上）大型病死猪无害化处理机械设备</w:t>
            </w:r>
          </w:p>
        </w:tc>
        <w:tc>
          <w:tcPr>
            <w:tcW w:w="1713"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100</w:t>
            </w:r>
          </w:p>
        </w:tc>
        <w:tc>
          <w:tcPr>
            <w:tcW w:w="1485"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w:t>
            </w:r>
          </w:p>
        </w:tc>
        <w:tc>
          <w:tcPr>
            <w:tcW w:w="1595" w:type="dxa"/>
            <w:tcBorders>
              <w:top w:val="nil"/>
              <w:left w:val="nil"/>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w:t>
            </w:r>
          </w:p>
        </w:tc>
      </w:tr>
      <w:tr>
        <w:tblPrEx>
          <w:tblCellMar>
            <w:top w:w="0" w:type="dxa"/>
            <w:left w:w="108" w:type="dxa"/>
            <w:bottom w:w="0" w:type="dxa"/>
            <w:right w:w="108" w:type="dxa"/>
          </w:tblCellMar>
        </w:tblPrEx>
        <w:trPr>
          <w:trHeight w:val="737" w:hRule="atLeast"/>
        </w:trPr>
        <w:tc>
          <w:tcPr>
            <w:tcW w:w="747"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2</w:t>
            </w:r>
          </w:p>
        </w:tc>
        <w:tc>
          <w:tcPr>
            <w:tcW w:w="3981" w:type="dxa"/>
            <w:tcBorders>
              <w:top w:val="single" w:color="auto" w:sz="4" w:space="0"/>
              <w:left w:val="nil"/>
              <w:bottom w:val="single" w:color="auto" w:sz="4" w:space="0"/>
              <w:right w:val="single" w:color="auto" w:sz="4" w:space="0"/>
            </w:tcBorders>
            <w:vAlign w:val="center"/>
          </w:tcPr>
          <w:p>
            <w:pPr>
              <w:widowControl/>
              <w:spacing w:line="300" w:lineRule="exact"/>
              <w:rPr>
                <w:rFonts w:ascii="仿宋_GB2312" w:eastAsia="仿宋_GB2312"/>
                <w:sz w:val="28"/>
                <w:szCs w:val="28"/>
              </w:rPr>
            </w:pPr>
            <w:r>
              <w:rPr>
                <w:rFonts w:hint="eastAsia" w:ascii="仿宋_GB2312" w:eastAsia="仿宋_GB2312"/>
                <w:sz w:val="28"/>
                <w:szCs w:val="28"/>
              </w:rPr>
              <w:t>存栏</w:t>
            </w:r>
            <w:r>
              <w:rPr>
                <w:rFonts w:ascii="仿宋_GB2312" w:eastAsia="仿宋_GB2312"/>
                <w:sz w:val="28"/>
                <w:szCs w:val="28"/>
              </w:rPr>
              <w:t>1500</w:t>
            </w:r>
            <w:r>
              <w:rPr>
                <w:rFonts w:hint="eastAsia" w:ascii="仿宋_GB2312" w:eastAsia="仿宋_GB2312"/>
                <w:sz w:val="28"/>
                <w:szCs w:val="28"/>
              </w:rPr>
              <w:t>头以上生猪规模养殖场配套建设大型病死猪无害化处理机械设备</w:t>
            </w:r>
          </w:p>
        </w:tc>
        <w:tc>
          <w:tcPr>
            <w:tcW w:w="1713"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20</w:t>
            </w:r>
          </w:p>
        </w:tc>
        <w:tc>
          <w:tcPr>
            <w:tcW w:w="1485"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 xml:space="preserve"> -</w:t>
            </w:r>
          </w:p>
        </w:tc>
        <w:tc>
          <w:tcPr>
            <w:tcW w:w="1595" w:type="dxa"/>
            <w:tcBorders>
              <w:top w:val="nil"/>
              <w:left w:val="nil"/>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 xml:space="preserve"> -</w:t>
            </w:r>
          </w:p>
        </w:tc>
      </w:tr>
      <w:tr>
        <w:tblPrEx>
          <w:tblCellMar>
            <w:top w:w="0" w:type="dxa"/>
            <w:left w:w="108" w:type="dxa"/>
            <w:bottom w:w="0" w:type="dxa"/>
            <w:right w:w="108" w:type="dxa"/>
          </w:tblCellMar>
        </w:tblPrEx>
        <w:trPr>
          <w:trHeight w:val="737" w:hRule="atLeast"/>
        </w:trPr>
        <w:tc>
          <w:tcPr>
            <w:tcW w:w="747"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3</w:t>
            </w:r>
          </w:p>
        </w:tc>
        <w:tc>
          <w:tcPr>
            <w:tcW w:w="3981" w:type="dxa"/>
            <w:tcBorders>
              <w:top w:val="single" w:color="auto" w:sz="4" w:space="0"/>
              <w:left w:val="nil"/>
              <w:bottom w:val="single" w:color="auto" w:sz="4" w:space="0"/>
              <w:right w:val="single" w:color="auto" w:sz="4" w:space="0"/>
            </w:tcBorders>
            <w:vAlign w:val="center"/>
          </w:tcPr>
          <w:p>
            <w:pPr>
              <w:widowControl/>
              <w:spacing w:line="300" w:lineRule="exact"/>
              <w:rPr>
                <w:rFonts w:ascii="仿宋_GB2312" w:eastAsia="仿宋_GB2312"/>
                <w:sz w:val="28"/>
                <w:szCs w:val="28"/>
              </w:rPr>
            </w:pPr>
            <w:r>
              <w:rPr>
                <w:rFonts w:hint="eastAsia" w:ascii="仿宋_GB2312" w:eastAsia="仿宋_GB2312"/>
                <w:sz w:val="28"/>
                <w:szCs w:val="28"/>
              </w:rPr>
              <w:t>规模养殖场、生猪定点屠宰场、乡镇配套建设的发酵舍无害化处理设施</w:t>
            </w:r>
          </w:p>
        </w:tc>
        <w:tc>
          <w:tcPr>
            <w:tcW w:w="1713"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 xml:space="preserve"> -</w:t>
            </w:r>
          </w:p>
        </w:tc>
        <w:tc>
          <w:tcPr>
            <w:tcW w:w="1485"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5-10</w:t>
            </w:r>
          </w:p>
        </w:tc>
        <w:tc>
          <w:tcPr>
            <w:tcW w:w="1595" w:type="dxa"/>
            <w:tcBorders>
              <w:top w:val="nil"/>
              <w:left w:val="nil"/>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 xml:space="preserve"> -</w:t>
            </w:r>
          </w:p>
        </w:tc>
      </w:tr>
      <w:tr>
        <w:tblPrEx>
          <w:tblCellMar>
            <w:top w:w="0" w:type="dxa"/>
            <w:left w:w="108" w:type="dxa"/>
            <w:bottom w:w="0" w:type="dxa"/>
            <w:right w:w="108" w:type="dxa"/>
          </w:tblCellMar>
        </w:tblPrEx>
        <w:trPr>
          <w:trHeight w:val="737" w:hRule="atLeast"/>
        </w:trPr>
        <w:tc>
          <w:tcPr>
            <w:tcW w:w="747"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4</w:t>
            </w:r>
          </w:p>
        </w:tc>
        <w:tc>
          <w:tcPr>
            <w:tcW w:w="3981" w:type="dxa"/>
            <w:tcBorders>
              <w:top w:val="single" w:color="auto" w:sz="4" w:space="0"/>
              <w:left w:val="nil"/>
              <w:bottom w:val="single" w:color="auto" w:sz="4" w:space="0"/>
              <w:right w:val="single" w:color="auto" w:sz="4" w:space="0"/>
            </w:tcBorders>
            <w:vAlign w:val="center"/>
          </w:tcPr>
          <w:p>
            <w:pPr>
              <w:widowControl/>
              <w:spacing w:line="300" w:lineRule="exact"/>
              <w:rPr>
                <w:rFonts w:ascii="仿宋_GB2312" w:eastAsia="仿宋_GB2312"/>
                <w:sz w:val="28"/>
                <w:szCs w:val="28"/>
              </w:rPr>
            </w:pPr>
            <w:r>
              <w:rPr>
                <w:rFonts w:hint="eastAsia" w:ascii="仿宋_GB2312" w:eastAsia="仿宋_GB2312"/>
                <w:sz w:val="28"/>
                <w:szCs w:val="28"/>
              </w:rPr>
              <w:t>建设实际容量达</w:t>
            </w:r>
            <w:r>
              <w:rPr>
                <w:rFonts w:ascii="仿宋_GB2312" w:eastAsia="仿宋_GB2312"/>
                <w:sz w:val="28"/>
                <w:szCs w:val="28"/>
              </w:rPr>
              <w:t>200</w:t>
            </w:r>
            <w:r>
              <w:rPr>
                <w:rFonts w:hint="eastAsia" w:ascii="仿宋_GB2312" w:eastAsia="仿宋_GB2312"/>
                <w:sz w:val="28"/>
                <w:szCs w:val="28"/>
              </w:rPr>
              <w:t>立方米以上的化尸池（窖）集中处理点</w:t>
            </w:r>
          </w:p>
        </w:tc>
        <w:tc>
          <w:tcPr>
            <w:tcW w:w="1713"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 xml:space="preserve"> -</w:t>
            </w:r>
          </w:p>
        </w:tc>
        <w:tc>
          <w:tcPr>
            <w:tcW w:w="1485"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20</w:t>
            </w:r>
          </w:p>
        </w:tc>
        <w:tc>
          <w:tcPr>
            <w:tcW w:w="1595" w:type="dxa"/>
            <w:tcBorders>
              <w:top w:val="nil"/>
              <w:left w:val="nil"/>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w:t>
            </w:r>
          </w:p>
        </w:tc>
      </w:tr>
      <w:tr>
        <w:tblPrEx>
          <w:tblCellMar>
            <w:top w:w="0" w:type="dxa"/>
            <w:left w:w="108" w:type="dxa"/>
            <w:bottom w:w="0" w:type="dxa"/>
            <w:right w:w="108" w:type="dxa"/>
          </w:tblCellMar>
        </w:tblPrEx>
        <w:trPr>
          <w:trHeight w:val="737" w:hRule="atLeast"/>
        </w:trPr>
        <w:tc>
          <w:tcPr>
            <w:tcW w:w="747"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5</w:t>
            </w:r>
          </w:p>
        </w:tc>
        <w:tc>
          <w:tcPr>
            <w:tcW w:w="3981" w:type="dxa"/>
            <w:tcBorders>
              <w:top w:val="single" w:color="auto" w:sz="4" w:space="0"/>
              <w:left w:val="nil"/>
              <w:bottom w:val="single" w:color="auto" w:sz="4" w:space="0"/>
              <w:right w:val="single" w:color="auto" w:sz="4" w:space="0"/>
            </w:tcBorders>
            <w:vAlign w:val="center"/>
          </w:tcPr>
          <w:p>
            <w:pPr>
              <w:widowControl/>
              <w:spacing w:line="300" w:lineRule="exact"/>
              <w:rPr>
                <w:rFonts w:ascii="仿宋_GB2312" w:eastAsia="仿宋_GB2312"/>
                <w:sz w:val="28"/>
                <w:szCs w:val="28"/>
              </w:rPr>
            </w:pPr>
            <w:r>
              <w:rPr>
                <w:rFonts w:hint="eastAsia" w:ascii="仿宋_GB2312" w:eastAsia="仿宋_GB2312"/>
                <w:sz w:val="28"/>
                <w:szCs w:val="28"/>
              </w:rPr>
              <w:t>建设实际容量达</w:t>
            </w:r>
            <w:r>
              <w:rPr>
                <w:rFonts w:ascii="仿宋_GB2312" w:eastAsia="仿宋_GB2312"/>
                <w:sz w:val="28"/>
                <w:szCs w:val="28"/>
              </w:rPr>
              <w:t>300</w:t>
            </w:r>
            <w:r>
              <w:rPr>
                <w:rFonts w:hint="eastAsia" w:ascii="仿宋_GB2312" w:eastAsia="仿宋_GB2312"/>
                <w:sz w:val="28"/>
                <w:szCs w:val="28"/>
              </w:rPr>
              <w:t>立方米以上的化尸池（窖）集中处理点</w:t>
            </w:r>
          </w:p>
        </w:tc>
        <w:tc>
          <w:tcPr>
            <w:tcW w:w="1713"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 xml:space="preserve"> -</w:t>
            </w:r>
          </w:p>
        </w:tc>
        <w:tc>
          <w:tcPr>
            <w:tcW w:w="1485"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30</w:t>
            </w:r>
          </w:p>
        </w:tc>
        <w:tc>
          <w:tcPr>
            <w:tcW w:w="1595" w:type="dxa"/>
            <w:tcBorders>
              <w:top w:val="nil"/>
              <w:left w:val="nil"/>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w:t>
            </w:r>
          </w:p>
        </w:tc>
      </w:tr>
      <w:tr>
        <w:tblPrEx>
          <w:tblCellMar>
            <w:top w:w="0" w:type="dxa"/>
            <w:left w:w="108" w:type="dxa"/>
            <w:bottom w:w="0" w:type="dxa"/>
            <w:right w:w="108" w:type="dxa"/>
          </w:tblCellMar>
        </w:tblPrEx>
        <w:trPr>
          <w:trHeight w:val="737" w:hRule="atLeast"/>
        </w:trPr>
        <w:tc>
          <w:tcPr>
            <w:tcW w:w="747"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6</w:t>
            </w:r>
          </w:p>
        </w:tc>
        <w:tc>
          <w:tcPr>
            <w:tcW w:w="3981" w:type="dxa"/>
            <w:tcBorders>
              <w:top w:val="single" w:color="auto" w:sz="4" w:space="0"/>
              <w:left w:val="nil"/>
              <w:bottom w:val="single" w:color="auto" w:sz="4" w:space="0"/>
              <w:right w:val="single" w:color="auto" w:sz="4" w:space="0"/>
            </w:tcBorders>
            <w:vAlign w:val="center"/>
          </w:tcPr>
          <w:p>
            <w:pPr>
              <w:widowControl/>
              <w:spacing w:line="300" w:lineRule="exact"/>
              <w:rPr>
                <w:rFonts w:ascii="仿宋_GB2312" w:eastAsia="仿宋_GB2312"/>
                <w:sz w:val="28"/>
                <w:szCs w:val="28"/>
              </w:rPr>
            </w:pPr>
            <w:r>
              <w:rPr>
                <w:rFonts w:hint="eastAsia" w:ascii="仿宋_GB2312" w:eastAsia="仿宋_GB2312"/>
                <w:sz w:val="28"/>
                <w:szCs w:val="28"/>
              </w:rPr>
              <w:t>规范建设的公益性集中处理点</w:t>
            </w:r>
          </w:p>
        </w:tc>
        <w:tc>
          <w:tcPr>
            <w:tcW w:w="1713"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w:t>
            </w:r>
          </w:p>
        </w:tc>
        <w:tc>
          <w:tcPr>
            <w:tcW w:w="1485"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w:t>
            </w:r>
          </w:p>
        </w:tc>
        <w:tc>
          <w:tcPr>
            <w:tcW w:w="1595" w:type="dxa"/>
            <w:tcBorders>
              <w:top w:val="nil"/>
              <w:left w:val="nil"/>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5</w:t>
            </w:r>
          </w:p>
        </w:tc>
      </w:tr>
      <w:tr>
        <w:tblPrEx>
          <w:tblCellMar>
            <w:top w:w="0" w:type="dxa"/>
            <w:left w:w="108" w:type="dxa"/>
            <w:bottom w:w="0" w:type="dxa"/>
            <w:right w:w="108" w:type="dxa"/>
          </w:tblCellMar>
        </w:tblPrEx>
        <w:trPr>
          <w:trHeight w:val="737" w:hRule="atLeast"/>
        </w:trPr>
        <w:tc>
          <w:tcPr>
            <w:tcW w:w="747"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7</w:t>
            </w:r>
          </w:p>
        </w:tc>
        <w:tc>
          <w:tcPr>
            <w:tcW w:w="3981" w:type="dxa"/>
            <w:tcBorders>
              <w:top w:val="single" w:color="auto" w:sz="4" w:space="0"/>
              <w:left w:val="nil"/>
              <w:bottom w:val="single" w:color="auto" w:sz="4" w:space="0"/>
              <w:right w:val="single" w:color="auto" w:sz="4" w:space="0"/>
            </w:tcBorders>
            <w:vAlign w:val="center"/>
          </w:tcPr>
          <w:p>
            <w:pPr>
              <w:widowControl/>
              <w:spacing w:line="300" w:lineRule="exact"/>
              <w:rPr>
                <w:rFonts w:ascii="仿宋_GB2312" w:eastAsia="仿宋_GB2312"/>
                <w:sz w:val="28"/>
                <w:szCs w:val="28"/>
              </w:rPr>
            </w:pPr>
            <w:r>
              <w:rPr>
                <w:rFonts w:hint="eastAsia" w:ascii="仿宋_GB2312" w:eastAsia="仿宋_GB2312"/>
                <w:sz w:val="28"/>
                <w:szCs w:val="28"/>
              </w:rPr>
              <w:t>建设配置</w:t>
            </w:r>
            <w:r>
              <w:rPr>
                <w:rFonts w:ascii="仿宋_GB2312" w:eastAsia="仿宋_GB2312"/>
                <w:sz w:val="28"/>
                <w:szCs w:val="28"/>
              </w:rPr>
              <w:t>3</w:t>
            </w:r>
            <w:r>
              <w:rPr>
                <w:rFonts w:hint="eastAsia" w:ascii="仿宋_GB2312" w:eastAsia="仿宋_GB2312"/>
                <w:sz w:val="28"/>
                <w:szCs w:val="28"/>
              </w:rPr>
              <w:t>台以上大型病死猪无害化处理机的集中处理场</w:t>
            </w:r>
          </w:p>
        </w:tc>
        <w:tc>
          <w:tcPr>
            <w:tcW w:w="1713"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 xml:space="preserve"> -</w:t>
            </w:r>
          </w:p>
        </w:tc>
        <w:tc>
          <w:tcPr>
            <w:tcW w:w="1485"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30</w:t>
            </w:r>
          </w:p>
        </w:tc>
        <w:tc>
          <w:tcPr>
            <w:tcW w:w="1595" w:type="dxa"/>
            <w:tcBorders>
              <w:top w:val="nil"/>
              <w:left w:val="nil"/>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 xml:space="preserve"> -</w:t>
            </w:r>
          </w:p>
        </w:tc>
      </w:tr>
      <w:tr>
        <w:tblPrEx>
          <w:tblCellMar>
            <w:top w:w="0" w:type="dxa"/>
            <w:left w:w="108" w:type="dxa"/>
            <w:bottom w:w="0" w:type="dxa"/>
            <w:right w:w="108" w:type="dxa"/>
          </w:tblCellMar>
        </w:tblPrEx>
        <w:trPr>
          <w:trHeight w:val="737" w:hRule="atLeast"/>
        </w:trPr>
        <w:tc>
          <w:tcPr>
            <w:tcW w:w="747"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8</w:t>
            </w:r>
          </w:p>
        </w:tc>
        <w:tc>
          <w:tcPr>
            <w:tcW w:w="3981" w:type="dxa"/>
            <w:tcBorders>
              <w:top w:val="single" w:color="auto" w:sz="4" w:space="0"/>
              <w:left w:val="nil"/>
              <w:bottom w:val="single" w:color="auto" w:sz="4" w:space="0"/>
              <w:right w:val="single" w:color="auto" w:sz="4" w:space="0"/>
            </w:tcBorders>
            <w:vAlign w:val="center"/>
          </w:tcPr>
          <w:p>
            <w:pPr>
              <w:widowControl/>
              <w:spacing w:line="300" w:lineRule="exact"/>
              <w:rPr>
                <w:rFonts w:ascii="仿宋_GB2312" w:eastAsia="仿宋_GB2312"/>
                <w:sz w:val="28"/>
                <w:szCs w:val="28"/>
              </w:rPr>
            </w:pPr>
            <w:r>
              <w:rPr>
                <w:rFonts w:hint="eastAsia" w:ascii="仿宋_GB2312" w:eastAsia="仿宋_GB2312"/>
                <w:sz w:val="28"/>
                <w:szCs w:val="28"/>
              </w:rPr>
              <w:t>建设配置</w:t>
            </w:r>
            <w:r>
              <w:rPr>
                <w:rFonts w:ascii="仿宋_GB2312" w:eastAsia="仿宋_GB2312"/>
                <w:sz w:val="28"/>
                <w:szCs w:val="28"/>
              </w:rPr>
              <w:t>3</w:t>
            </w:r>
            <w:r>
              <w:rPr>
                <w:rFonts w:hint="eastAsia" w:ascii="仿宋_GB2312" w:eastAsia="仿宋_GB2312"/>
                <w:sz w:val="28"/>
                <w:szCs w:val="28"/>
              </w:rPr>
              <w:t>台套以上大型病死猪无害化处理机并配套监控摄像的集中处理场</w:t>
            </w:r>
          </w:p>
        </w:tc>
        <w:tc>
          <w:tcPr>
            <w:tcW w:w="1713"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 xml:space="preserve"> -</w:t>
            </w:r>
          </w:p>
        </w:tc>
        <w:tc>
          <w:tcPr>
            <w:tcW w:w="1485"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 xml:space="preserve"> -</w:t>
            </w:r>
          </w:p>
        </w:tc>
        <w:tc>
          <w:tcPr>
            <w:tcW w:w="1595" w:type="dxa"/>
            <w:tcBorders>
              <w:top w:val="nil"/>
              <w:left w:val="nil"/>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10</w:t>
            </w:r>
          </w:p>
        </w:tc>
      </w:tr>
      <w:tr>
        <w:tblPrEx>
          <w:tblCellMar>
            <w:top w:w="0" w:type="dxa"/>
            <w:left w:w="108" w:type="dxa"/>
            <w:bottom w:w="0" w:type="dxa"/>
            <w:right w:w="108" w:type="dxa"/>
          </w:tblCellMar>
        </w:tblPrEx>
        <w:trPr>
          <w:trHeight w:val="737" w:hRule="atLeast"/>
        </w:trPr>
        <w:tc>
          <w:tcPr>
            <w:tcW w:w="747"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9</w:t>
            </w:r>
          </w:p>
        </w:tc>
        <w:tc>
          <w:tcPr>
            <w:tcW w:w="3981" w:type="dxa"/>
            <w:tcBorders>
              <w:top w:val="single" w:color="auto" w:sz="4" w:space="0"/>
              <w:left w:val="nil"/>
              <w:bottom w:val="single" w:color="auto" w:sz="4" w:space="0"/>
              <w:right w:val="single" w:color="auto" w:sz="4" w:space="0"/>
            </w:tcBorders>
            <w:vAlign w:val="center"/>
          </w:tcPr>
          <w:p>
            <w:pPr>
              <w:widowControl/>
              <w:spacing w:line="300" w:lineRule="exact"/>
              <w:rPr>
                <w:rFonts w:ascii="仿宋_GB2312" w:eastAsia="仿宋_GB2312"/>
                <w:sz w:val="28"/>
                <w:szCs w:val="28"/>
              </w:rPr>
            </w:pPr>
            <w:r>
              <w:rPr>
                <w:rFonts w:hint="eastAsia" w:ascii="仿宋_GB2312" w:eastAsia="仿宋_GB2312"/>
                <w:sz w:val="28"/>
                <w:szCs w:val="28"/>
              </w:rPr>
              <w:t>规范运行的公益性集中处理场运行费用</w:t>
            </w:r>
          </w:p>
        </w:tc>
        <w:tc>
          <w:tcPr>
            <w:tcW w:w="1713"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 xml:space="preserve"> -</w:t>
            </w:r>
          </w:p>
        </w:tc>
        <w:tc>
          <w:tcPr>
            <w:tcW w:w="1485"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 xml:space="preserve"> -</w:t>
            </w:r>
          </w:p>
        </w:tc>
        <w:tc>
          <w:tcPr>
            <w:tcW w:w="1595" w:type="dxa"/>
            <w:tcBorders>
              <w:top w:val="nil"/>
              <w:left w:val="nil"/>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rPr>
              <w:t>万元</w:t>
            </w:r>
            <w:r>
              <w:rPr>
                <w:rFonts w:ascii="仿宋_GB2312" w:eastAsia="仿宋_GB2312"/>
                <w:sz w:val="28"/>
                <w:szCs w:val="28"/>
              </w:rPr>
              <w:t>/</w:t>
            </w:r>
            <w:r>
              <w:rPr>
                <w:rFonts w:hint="eastAsia" w:ascii="仿宋_GB2312" w:eastAsia="仿宋_GB2312"/>
                <w:sz w:val="28"/>
                <w:szCs w:val="28"/>
              </w:rPr>
              <w:t>年</w:t>
            </w:r>
          </w:p>
        </w:tc>
      </w:tr>
      <w:tr>
        <w:tblPrEx>
          <w:tblCellMar>
            <w:top w:w="0" w:type="dxa"/>
            <w:left w:w="108" w:type="dxa"/>
            <w:bottom w:w="0" w:type="dxa"/>
            <w:right w:w="108" w:type="dxa"/>
          </w:tblCellMar>
        </w:tblPrEx>
        <w:trPr>
          <w:trHeight w:val="737" w:hRule="atLeast"/>
        </w:trPr>
        <w:tc>
          <w:tcPr>
            <w:tcW w:w="747"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10</w:t>
            </w:r>
          </w:p>
        </w:tc>
        <w:tc>
          <w:tcPr>
            <w:tcW w:w="3981" w:type="dxa"/>
            <w:tcBorders>
              <w:top w:val="single" w:color="auto" w:sz="4" w:space="0"/>
              <w:left w:val="nil"/>
              <w:bottom w:val="single" w:color="auto" w:sz="4" w:space="0"/>
              <w:right w:val="single" w:color="auto" w:sz="4" w:space="0"/>
            </w:tcBorders>
            <w:vAlign w:val="center"/>
          </w:tcPr>
          <w:p>
            <w:pPr>
              <w:widowControl/>
              <w:spacing w:line="300" w:lineRule="exact"/>
              <w:rPr>
                <w:rFonts w:ascii="仿宋_GB2312" w:eastAsia="仿宋_GB2312"/>
                <w:sz w:val="28"/>
                <w:szCs w:val="28"/>
              </w:rPr>
            </w:pPr>
            <w:r>
              <w:rPr>
                <w:rFonts w:hint="eastAsia" w:ascii="仿宋_GB2312" w:eastAsia="仿宋_GB2312"/>
                <w:sz w:val="28"/>
                <w:szCs w:val="28"/>
              </w:rPr>
              <w:t>配置</w:t>
            </w:r>
            <w:r>
              <w:rPr>
                <w:rFonts w:ascii="仿宋_GB2312" w:eastAsia="仿宋_GB2312"/>
                <w:sz w:val="28"/>
                <w:szCs w:val="28"/>
              </w:rPr>
              <w:t>3</w:t>
            </w:r>
            <w:r>
              <w:rPr>
                <w:rFonts w:hint="eastAsia" w:ascii="仿宋_GB2312" w:eastAsia="仿宋_GB2312"/>
                <w:sz w:val="28"/>
                <w:szCs w:val="28"/>
              </w:rPr>
              <w:t>台以上大型病死猪无害化处理机并规范运行的公益性集中处理场运行费用</w:t>
            </w:r>
          </w:p>
        </w:tc>
        <w:tc>
          <w:tcPr>
            <w:tcW w:w="1713"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 xml:space="preserve"> -</w:t>
            </w:r>
          </w:p>
        </w:tc>
        <w:tc>
          <w:tcPr>
            <w:tcW w:w="1485" w:type="dxa"/>
            <w:tcBorders>
              <w:top w:val="nil"/>
              <w:left w:val="nil"/>
              <w:bottom w:val="single" w:color="auto" w:sz="4" w:space="0"/>
              <w:right w:val="single" w:color="auto" w:sz="4" w:space="0"/>
            </w:tcBorders>
            <w:vAlign w:val="center"/>
          </w:tcPr>
          <w:p>
            <w:pPr>
              <w:widowControl/>
              <w:spacing w:line="300" w:lineRule="exact"/>
              <w:jc w:val="center"/>
              <w:rPr>
                <w:rFonts w:ascii="仿宋_GB2312" w:eastAsia="仿宋_GB2312"/>
                <w:sz w:val="28"/>
                <w:szCs w:val="28"/>
              </w:rPr>
            </w:pPr>
            <w:r>
              <w:rPr>
                <w:rFonts w:ascii="仿宋_GB2312" w:eastAsia="仿宋_GB2312"/>
                <w:sz w:val="28"/>
                <w:szCs w:val="28"/>
              </w:rPr>
              <w:t xml:space="preserve"> -</w:t>
            </w:r>
          </w:p>
        </w:tc>
        <w:tc>
          <w:tcPr>
            <w:tcW w:w="1595" w:type="dxa"/>
            <w:tcBorders>
              <w:top w:val="nil"/>
              <w:left w:val="nil"/>
              <w:bottom w:val="single" w:color="auto" w:sz="4" w:space="0"/>
              <w:right w:val="single" w:color="auto" w:sz="4" w:space="0"/>
            </w:tcBorders>
            <w:vAlign w:val="center"/>
          </w:tcPr>
          <w:p>
            <w:pPr>
              <w:widowControl/>
              <w:spacing w:line="240" w:lineRule="exact"/>
              <w:jc w:val="center"/>
              <w:rPr>
                <w:rFonts w:ascii="仿宋_GB2312" w:eastAsia="仿宋_GB2312"/>
                <w:sz w:val="28"/>
                <w:szCs w:val="28"/>
              </w:rPr>
            </w:pPr>
            <w:r>
              <w:rPr>
                <w:rFonts w:ascii="仿宋_GB2312" w:eastAsia="仿宋_GB2312"/>
                <w:sz w:val="28"/>
                <w:szCs w:val="28"/>
              </w:rPr>
              <w:t>5</w:t>
            </w:r>
            <w:r>
              <w:rPr>
                <w:rFonts w:hint="eastAsia" w:ascii="仿宋_GB2312" w:eastAsia="仿宋_GB2312"/>
                <w:sz w:val="28"/>
                <w:szCs w:val="28"/>
              </w:rPr>
              <w:t>万元</w:t>
            </w:r>
            <w:r>
              <w:rPr>
                <w:rFonts w:ascii="仿宋_GB2312" w:eastAsia="仿宋_GB2312"/>
                <w:sz w:val="28"/>
                <w:szCs w:val="28"/>
              </w:rPr>
              <w:t>/</w:t>
            </w:r>
            <w:r>
              <w:rPr>
                <w:rFonts w:hint="eastAsia" w:ascii="仿宋_GB2312" w:eastAsia="仿宋_GB2312"/>
                <w:sz w:val="28"/>
                <w:szCs w:val="28"/>
              </w:rPr>
              <w:t>年</w:t>
            </w:r>
          </w:p>
        </w:tc>
      </w:tr>
    </w:tbl>
    <w:p>
      <w:pPr>
        <w:spacing w:line="580" w:lineRule="exact"/>
        <w:rPr>
          <w:rFonts w:ascii="仿宋_GB2312" w:hAnsi="黑体" w:eastAsia="仿宋_GB2312" w:cs="宋体"/>
          <w:kern w:val="0"/>
          <w:sz w:val="32"/>
          <w:szCs w:val="32"/>
        </w:rPr>
      </w:pPr>
    </w:p>
    <w:p>
      <w:pPr>
        <w:spacing w:line="580" w:lineRule="exact"/>
        <w:rPr>
          <w:rFonts w:ascii="仿宋_GB2312" w:hAnsi="黑体" w:eastAsia="仿宋_GB2312" w:cs="宋体"/>
          <w:kern w:val="0"/>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4YzljN2U3NTY5ODk5YzRjNzg1M2QwNWZjZjU1NzMifQ=="/>
  </w:docVars>
  <w:rsids>
    <w:rsidRoot w:val="00000000"/>
    <w:rsid w:val="4BF61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Calibri" w:hAnsi="Calibri"/>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styleId="6">
    <w:name w:val="page number"/>
    <w:basedOn w:val="5"/>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2023-08-17T09:21:52Z</dcterms:created>
  <dc:creator>Administrator</dc:creator>
  <cp:lastModifiedBy>绿叶如荫</cp:lastModifiedBy>
  <dcterms:modified xsi:type="dcterms:W3CDTF">2023-08-17T09:22:17Z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E677735D8ADD41AABB96ED62726C5FC7_12</vt:lpwstr>
  </property>
</Properties>
</file>