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color w:val="auto"/>
          <w:szCs w:val="21"/>
          <w:highlight w:val="none"/>
        </w:rPr>
      </w:pPr>
    </w:p>
    <w:p>
      <w:pPr>
        <w:rPr>
          <w:rFonts w:ascii="宋体" w:hAnsi="宋体" w:eastAsia="宋体" w:cs="宋体"/>
          <w:color w:val="auto"/>
          <w:szCs w:val="21"/>
          <w:highlight w:val="none"/>
        </w:rPr>
      </w:pPr>
    </w:p>
    <w:p>
      <w:pPr>
        <w:pStyle w:val="2"/>
        <w:rPr>
          <w:color w:val="auto"/>
          <w:highlight w:val="none"/>
        </w:rPr>
      </w:pPr>
    </w:p>
    <w:p>
      <w:pPr>
        <w:rPr>
          <w:rFonts w:ascii="Times New Roman" w:hAnsi="Times New Roman" w:eastAsia="仿宋_GB2312" w:cs="Times New Roman"/>
          <w:color w:val="auto"/>
          <w:sz w:val="30"/>
          <w:highlight w:val="none"/>
        </w:rPr>
      </w:pPr>
      <w:r>
        <w:rPr>
          <w:rFonts w:ascii="Times New Roman" w:hAnsi="Times New Roman" w:eastAsia="仿宋_GB2312" w:cs="Times New Roman"/>
          <w:color w:val="auto"/>
          <w:sz w:val="30"/>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eastAsia="仿宋_GB2312" w:cs="Times New Roman"/>
          <w:color w:val="auto"/>
          <w:sz w:val="30"/>
          <w:highlight w:val="none"/>
        </w:rPr>
        <w:instrText xml:space="preserve">ADDIN CNKISM.UserStyle</w:instrText>
      </w:r>
      <w:r>
        <w:rPr>
          <w:rFonts w:ascii="Times New Roman" w:hAnsi="Times New Roman" w:eastAsia="仿宋_GB2312" w:cs="Times New Roman"/>
          <w:color w:val="auto"/>
          <w:sz w:val="30"/>
          <w:highlight w:val="none"/>
        </w:rPr>
        <w:fldChar w:fldCharType="end"/>
      </w:r>
    </w:p>
    <w:p>
      <w:pPr>
        <w:spacing w:line="360" w:lineRule="auto"/>
        <w:jc w:val="center"/>
        <w:rPr>
          <w:rFonts w:ascii="仿宋" w:hAnsi="仿宋" w:eastAsia="仿宋" w:cs="仿宋"/>
          <w:b/>
          <w:color w:val="auto"/>
          <w:kern w:val="0"/>
          <w:sz w:val="52"/>
          <w:szCs w:val="52"/>
          <w:highlight w:val="none"/>
        </w:rPr>
      </w:pPr>
      <w:r>
        <w:rPr>
          <w:rFonts w:hint="eastAsia" w:ascii="仿宋" w:hAnsi="仿宋" w:eastAsia="仿宋" w:cs="仿宋"/>
          <w:b/>
          <w:color w:val="auto"/>
          <w:kern w:val="0"/>
          <w:sz w:val="52"/>
          <w:szCs w:val="52"/>
          <w:highlight w:val="none"/>
        </w:rPr>
        <w:t>泉州市洛江区2020年度松材线虫病</w:t>
      </w:r>
    </w:p>
    <w:p>
      <w:pPr>
        <w:spacing w:line="360" w:lineRule="auto"/>
        <w:jc w:val="center"/>
        <w:rPr>
          <w:rFonts w:ascii="仿宋" w:hAnsi="仿宋" w:eastAsia="仿宋" w:cs="仿宋"/>
          <w:b/>
          <w:color w:val="auto"/>
          <w:kern w:val="0"/>
          <w:sz w:val="52"/>
          <w:szCs w:val="52"/>
          <w:highlight w:val="none"/>
        </w:rPr>
      </w:pPr>
      <w:r>
        <w:rPr>
          <w:rFonts w:hint="eastAsia" w:ascii="仿宋" w:hAnsi="仿宋" w:eastAsia="仿宋" w:cs="仿宋"/>
          <w:b/>
          <w:color w:val="auto"/>
          <w:kern w:val="0"/>
          <w:sz w:val="52"/>
          <w:szCs w:val="52"/>
          <w:highlight w:val="none"/>
        </w:rPr>
        <w:t>综合防控专项资金</w:t>
      </w:r>
    </w:p>
    <w:p>
      <w:pPr>
        <w:spacing w:line="360" w:lineRule="auto"/>
        <w:jc w:val="center"/>
        <w:rPr>
          <w:rFonts w:ascii="仿宋" w:hAnsi="仿宋" w:eastAsia="仿宋" w:cs="仿宋"/>
          <w:b/>
          <w:color w:val="auto"/>
          <w:kern w:val="0"/>
          <w:sz w:val="36"/>
          <w:szCs w:val="36"/>
          <w:highlight w:val="none"/>
        </w:rPr>
      </w:pPr>
    </w:p>
    <w:p>
      <w:pPr>
        <w:spacing w:line="360" w:lineRule="auto"/>
        <w:jc w:val="center"/>
        <w:rPr>
          <w:rFonts w:ascii="华文行楷" w:hAnsi="华文行楷" w:eastAsia="华文行楷" w:cs="华文行楷"/>
          <w:b/>
          <w:color w:val="auto"/>
          <w:kern w:val="0"/>
          <w:sz w:val="72"/>
          <w:szCs w:val="72"/>
          <w:highlight w:val="none"/>
        </w:rPr>
      </w:pPr>
      <w:r>
        <w:rPr>
          <w:rFonts w:hint="eastAsia" w:ascii="华文行楷" w:hAnsi="华文行楷" w:eastAsia="华文行楷" w:cs="华文行楷"/>
          <w:b/>
          <w:color w:val="auto"/>
          <w:kern w:val="0"/>
          <w:sz w:val="72"/>
          <w:szCs w:val="72"/>
          <w:highlight w:val="none"/>
        </w:rPr>
        <w:t>绩效评价报告</w:t>
      </w:r>
    </w:p>
    <w:p>
      <w:pPr>
        <w:pStyle w:val="13"/>
        <w:spacing w:after="0"/>
        <w:ind w:left="0" w:leftChars="0" w:firstLine="0" w:firstLineChars="0"/>
        <w:jc w:val="center"/>
        <w:rPr>
          <w:rFonts w:hint="eastAsia" w:ascii="仿宋" w:hAnsi="仿宋" w:eastAsia="仿宋" w:cs="仿宋"/>
          <w:b/>
          <w:bCs/>
          <w:color w:val="auto"/>
          <w:sz w:val="32"/>
          <w:szCs w:val="32"/>
          <w:highlight w:val="none"/>
        </w:rPr>
      </w:pPr>
    </w:p>
    <w:p>
      <w:pPr>
        <w:pStyle w:val="13"/>
        <w:spacing w:after="0"/>
        <w:ind w:left="0" w:leftChars="0" w:firstLine="0" w:firstLineChars="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编号：泉招咨绩【2021】10-</w:t>
      </w:r>
      <w:r>
        <w:rPr>
          <w:rFonts w:hint="eastAsia" w:ascii="仿宋" w:hAnsi="仿宋" w:eastAsia="仿宋" w:cs="仿宋"/>
          <w:b/>
          <w:bCs/>
          <w:color w:val="auto"/>
          <w:sz w:val="32"/>
          <w:szCs w:val="32"/>
          <w:highlight w:val="none"/>
          <w:lang w:val="en-US" w:eastAsia="zh-CN"/>
        </w:rPr>
        <w:t>5</w:t>
      </w:r>
      <w:r>
        <w:rPr>
          <w:rFonts w:hint="eastAsia" w:ascii="仿宋" w:hAnsi="仿宋" w:eastAsia="仿宋" w:cs="仿宋"/>
          <w:b/>
          <w:bCs/>
          <w:color w:val="auto"/>
          <w:sz w:val="32"/>
          <w:szCs w:val="32"/>
          <w:highlight w:val="none"/>
        </w:rPr>
        <w:t>号</w:t>
      </w:r>
    </w:p>
    <w:p>
      <w:pPr>
        <w:pStyle w:val="13"/>
        <w:spacing w:after="0"/>
        <w:ind w:left="0" w:leftChars="0" w:firstLine="0" w:firstLineChars="0"/>
        <w:jc w:val="center"/>
        <w:rPr>
          <w:rFonts w:hint="eastAsia" w:ascii="仿宋" w:hAnsi="仿宋" w:eastAsia="仿宋" w:cs="仿宋"/>
          <w:b/>
          <w:bCs/>
          <w:color w:val="auto"/>
          <w:sz w:val="32"/>
          <w:szCs w:val="32"/>
          <w:highlight w:val="none"/>
        </w:rPr>
      </w:pPr>
    </w:p>
    <w:p>
      <w:pPr>
        <w:jc w:val="center"/>
        <w:rPr>
          <w:rFonts w:ascii="Times New Roman" w:hAnsi="Times New Roman" w:eastAsia="黑体" w:cs="Times New Roman"/>
          <w:b/>
          <w:color w:val="auto"/>
          <w:sz w:val="48"/>
          <w:szCs w:val="48"/>
          <w:highlight w:val="none"/>
        </w:rPr>
      </w:pPr>
    </w:p>
    <w:p>
      <w:pPr>
        <w:jc w:val="center"/>
        <w:rPr>
          <w:rFonts w:ascii="Times New Roman" w:hAnsi="Times New Roman" w:eastAsia="黑体" w:cs="Times New Roman"/>
          <w:b/>
          <w:color w:val="auto"/>
          <w:sz w:val="48"/>
          <w:szCs w:val="48"/>
          <w:highlight w:val="none"/>
        </w:rPr>
      </w:pPr>
    </w:p>
    <w:p>
      <w:pPr>
        <w:rPr>
          <w:rFonts w:ascii="Times New Roman" w:hAnsi="Times New Roman" w:eastAsia="黑体" w:cs="Times New Roman"/>
          <w:b/>
          <w:color w:val="auto"/>
          <w:sz w:val="48"/>
          <w:szCs w:val="48"/>
          <w:highlight w:val="none"/>
        </w:rPr>
      </w:pPr>
    </w:p>
    <w:p>
      <w:pPr>
        <w:pStyle w:val="2"/>
        <w:rPr>
          <w:rFonts w:ascii="Times New Roman" w:hAnsi="Times New Roman" w:eastAsia="黑体" w:cs="Times New Roman"/>
          <w:b/>
          <w:color w:val="auto"/>
          <w:sz w:val="48"/>
          <w:szCs w:val="48"/>
          <w:highlight w:val="none"/>
        </w:rPr>
      </w:pPr>
    </w:p>
    <w:p>
      <w:pPr>
        <w:rPr>
          <w:color w:val="auto"/>
          <w:highlight w:val="none"/>
        </w:rPr>
      </w:pPr>
    </w:p>
    <w:p>
      <w:pPr>
        <w:pStyle w:val="2"/>
        <w:rPr>
          <w:color w:val="auto"/>
          <w:highlight w:val="none"/>
          <w:lang w:val="en-US"/>
        </w:rPr>
      </w:pPr>
    </w:p>
    <w:p>
      <w:pPr>
        <w:pStyle w:val="12"/>
        <w:shd w:val="clear" w:color="auto" w:fill="FFFFFF"/>
        <w:spacing w:before="0" w:beforeAutospacing="0" w:after="0" w:afterAutospacing="0" w:line="420" w:lineRule="atLeast"/>
        <w:ind w:firstLine="1928" w:firstLineChars="600"/>
        <w:jc w:val="both"/>
        <w:rPr>
          <w:rStyle w:val="17"/>
          <w:rFonts w:ascii="仿宋" w:hAnsi="仿宋" w:eastAsia="仿宋" w:cs="仿宋"/>
          <w:b w:val="0"/>
          <w:color w:val="auto"/>
          <w:sz w:val="32"/>
          <w:szCs w:val="32"/>
          <w:highlight w:val="none"/>
          <w:shd w:val="clear" w:color="auto" w:fill="FFFFFF"/>
        </w:rPr>
      </w:pPr>
      <w:r>
        <w:rPr>
          <w:rStyle w:val="17"/>
          <w:rFonts w:hint="eastAsia" w:ascii="仿宋" w:hAnsi="仿宋" w:eastAsia="仿宋" w:cs="仿宋"/>
          <w:bCs w:val="0"/>
          <w:color w:val="auto"/>
          <w:sz w:val="32"/>
          <w:szCs w:val="32"/>
          <w:highlight w:val="none"/>
          <w:shd w:val="clear" w:color="auto" w:fill="FFFFFF"/>
        </w:rPr>
        <w:t>委托单位：</w:t>
      </w:r>
      <w:r>
        <w:rPr>
          <w:rStyle w:val="17"/>
          <w:rFonts w:hint="eastAsia" w:ascii="仿宋" w:hAnsi="仿宋" w:eastAsia="仿宋" w:cs="仿宋"/>
          <w:b w:val="0"/>
          <w:color w:val="auto"/>
          <w:sz w:val="32"/>
          <w:szCs w:val="32"/>
          <w:highlight w:val="none"/>
          <w:shd w:val="clear" w:color="auto" w:fill="FFFFFF"/>
        </w:rPr>
        <w:t>泉州市洛江区财政局</w:t>
      </w:r>
    </w:p>
    <w:p>
      <w:pPr>
        <w:pStyle w:val="12"/>
        <w:shd w:val="clear" w:color="auto" w:fill="FFFFFF"/>
        <w:spacing w:before="0" w:beforeAutospacing="0" w:after="0" w:afterAutospacing="0" w:line="420" w:lineRule="atLeast"/>
        <w:ind w:firstLine="1928" w:firstLineChars="600"/>
        <w:jc w:val="both"/>
        <w:rPr>
          <w:rStyle w:val="17"/>
          <w:rFonts w:ascii="仿宋" w:hAnsi="仿宋" w:eastAsia="仿宋" w:cs="仿宋"/>
          <w:b w:val="0"/>
          <w:color w:val="auto"/>
          <w:sz w:val="32"/>
          <w:szCs w:val="32"/>
          <w:highlight w:val="none"/>
          <w:shd w:val="clear" w:color="auto" w:fill="FFFFFF"/>
        </w:rPr>
      </w:pPr>
      <w:r>
        <w:rPr>
          <w:rStyle w:val="17"/>
          <w:rFonts w:hint="eastAsia" w:ascii="仿宋" w:hAnsi="仿宋" w:eastAsia="仿宋" w:cs="仿宋"/>
          <w:bCs w:val="0"/>
          <w:color w:val="auto"/>
          <w:sz w:val="32"/>
          <w:szCs w:val="32"/>
          <w:highlight w:val="none"/>
          <w:shd w:val="clear" w:color="auto" w:fill="FFFFFF"/>
        </w:rPr>
        <w:t>实施单位：</w:t>
      </w:r>
      <w:r>
        <w:rPr>
          <w:rStyle w:val="17"/>
          <w:rFonts w:hint="eastAsia" w:ascii="仿宋" w:hAnsi="仿宋" w:eastAsia="仿宋" w:cs="仿宋"/>
          <w:b w:val="0"/>
          <w:color w:val="auto"/>
          <w:sz w:val="32"/>
          <w:szCs w:val="32"/>
          <w:highlight w:val="none"/>
          <w:shd w:val="clear" w:color="auto" w:fill="FFFFFF"/>
        </w:rPr>
        <w:t>泉州市洛江区自然资源局</w:t>
      </w:r>
    </w:p>
    <w:p>
      <w:pPr>
        <w:pStyle w:val="12"/>
        <w:shd w:val="clear" w:color="auto" w:fill="FFFFFF"/>
        <w:spacing w:before="0" w:beforeAutospacing="0" w:after="0" w:afterAutospacing="0" w:line="420" w:lineRule="atLeast"/>
        <w:ind w:firstLine="1928" w:firstLineChars="600"/>
        <w:jc w:val="both"/>
        <w:rPr>
          <w:rFonts w:ascii="仿宋" w:hAnsi="仿宋" w:eastAsia="仿宋" w:cs="仿宋"/>
          <w:bCs/>
          <w:color w:val="auto"/>
          <w:sz w:val="32"/>
          <w:szCs w:val="32"/>
          <w:highlight w:val="none"/>
          <w:u w:val="single"/>
        </w:rPr>
      </w:pPr>
      <w:r>
        <w:rPr>
          <w:rStyle w:val="17"/>
          <w:rFonts w:hint="eastAsia" w:ascii="仿宋" w:hAnsi="仿宋" w:eastAsia="仿宋" w:cs="仿宋"/>
          <w:bCs w:val="0"/>
          <w:color w:val="auto"/>
          <w:sz w:val="32"/>
          <w:szCs w:val="32"/>
          <w:highlight w:val="none"/>
          <w:shd w:val="clear" w:color="auto" w:fill="FFFFFF"/>
        </w:rPr>
        <w:t>编制单位：</w:t>
      </w:r>
      <w:r>
        <w:rPr>
          <w:rStyle w:val="17"/>
          <w:rFonts w:hint="eastAsia" w:ascii="仿宋" w:hAnsi="仿宋" w:eastAsia="仿宋" w:cs="仿宋"/>
          <w:b w:val="0"/>
          <w:color w:val="auto"/>
          <w:sz w:val="32"/>
          <w:szCs w:val="32"/>
          <w:highlight w:val="none"/>
          <w:shd w:val="clear" w:color="auto" w:fill="FFFFFF"/>
        </w:rPr>
        <w:t>泉州市招标咨询中心有限公司</w:t>
      </w:r>
    </w:p>
    <w:p>
      <w:pPr>
        <w:pStyle w:val="12"/>
        <w:shd w:val="clear" w:color="auto" w:fill="FFFFFF"/>
        <w:spacing w:before="0" w:beforeAutospacing="0" w:after="0" w:afterAutospacing="0" w:line="420" w:lineRule="atLeast"/>
        <w:ind w:firstLine="600" w:firstLineChars="200"/>
        <w:jc w:val="center"/>
        <w:rPr>
          <w:rStyle w:val="17"/>
          <w:rFonts w:hint="eastAsia" w:ascii="仿宋" w:hAnsi="仿宋" w:eastAsia="仿宋" w:cs="仿宋"/>
          <w:b w:val="0"/>
          <w:color w:val="auto"/>
          <w:sz w:val="30"/>
          <w:szCs w:val="30"/>
          <w:highlight w:val="none"/>
          <w:shd w:val="clear" w:color="auto" w:fill="FFFFFF"/>
        </w:rPr>
      </w:pPr>
    </w:p>
    <w:p>
      <w:pPr>
        <w:pStyle w:val="12"/>
        <w:shd w:val="clear" w:color="auto" w:fill="FFFFFF"/>
        <w:spacing w:before="0" w:beforeAutospacing="0" w:after="0" w:afterAutospacing="0" w:line="420" w:lineRule="atLeast"/>
        <w:ind w:firstLine="600" w:firstLineChars="200"/>
        <w:jc w:val="center"/>
        <w:rPr>
          <w:rStyle w:val="17"/>
          <w:rFonts w:ascii="仿宋" w:hAnsi="仿宋" w:eastAsia="仿宋" w:cs="仿宋"/>
          <w:b w:val="0"/>
          <w:color w:val="auto"/>
          <w:sz w:val="30"/>
          <w:szCs w:val="30"/>
          <w:highlight w:val="none"/>
          <w:shd w:val="clear" w:color="auto" w:fill="FFFFFF"/>
        </w:rPr>
      </w:pPr>
      <w:r>
        <w:rPr>
          <w:rStyle w:val="17"/>
          <w:rFonts w:hint="eastAsia" w:ascii="仿宋" w:hAnsi="仿宋" w:eastAsia="仿宋" w:cs="仿宋"/>
          <w:b w:val="0"/>
          <w:color w:val="auto"/>
          <w:sz w:val="30"/>
          <w:szCs w:val="30"/>
          <w:highlight w:val="none"/>
          <w:shd w:val="clear" w:color="auto" w:fill="FFFFFF"/>
        </w:rPr>
        <w:t>2021年</w:t>
      </w:r>
      <w:r>
        <w:rPr>
          <w:rStyle w:val="17"/>
          <w:rFonts w:hint="eastAsia" w:ascii="仿宋" w:hAnsi="仿宋" w:eastAsia="仿宋" w:cs="仿宋"/>
          <w:b w:val="0"/>
          <w:color w:val="auto"/>
          <w:sz w:val="30"/>
          <w:szCs w:val="30"/>
          <w:highlight w:val="none"/>
          <w:shd w:val="clear" w:color="auto" w:fill="FFFFFF"/>
          <w:lang w:val="en-US" w:eastAsia="zh-CN"/>
        </w:rPr>
        <w:t>12</w:t>
      </w:r>
      <w:bookmarkStart w:id="60" w:name="_GoBack"/>
      <w:bookmarkEnd w:id="60"/>
      <w:r>
        <w:rPr>
          <w:rStyle w:val="17"/>
          <w:rFonts w:hint="eastAsia" w:ascii="仿宋" w:hAnsi="仿宋" w:eastAsia="仿宋" w:cs="仿宋"/>
          <w:b w:val="0"/>
          <w:color w:val="auto"/>
          <w:sz w:val="30"/>
          <w:szCs w:val="30"/>
          <w:highlight w:val="none"/>
          <w:shd w:val="clear" w:color="auto" w:fill="FFFFFF"/>
        </w:rPr>
        <w:t xml:space="preserve">月 </w:t>
      </w:r>
    </w:p>
    <w:p>
      <w:pPr>
        <w:rPr>
          <w:color w:val="auto"/>
          <w:highlight w:val="none"/>
        </w:rPr>
      </w:pPr>
    </w:p>
    <w:p>
      <w:pPr>
        <w:spacing w:line="360" w:lineRule="auto"/>
        <w:jc w:val="center"/>
        <w:rPr>
          <w:rFonts w:ascii="仿宋" w:hAnsi="仿宋" w:eastAsia="仿宋" w:cs="仿宋"/>
          <w:b/>
          <w:color w:val="auto"/>
          <w:kern w:val="0"/>
          <w:sz w:val="44"/>
          <w:szCs w:val="44"/>
          <w:highlight w:val="none"/>
        </w:rPr>
      </w:pPr>
    </w:p>
    <w:p>
      <w:pPr>
        <w:spacing w:line="360" w:lineRule="auto"/>
        <w:jc w:val="center"/>
        <w:rPr>
          <w:rFonts w:ascii="仿宋" w:hAnsi="仿宋" w:eastAsia="仿宋" w:cs="仿宋"/>
          <w:b/>
          <w:color w:val="auto"/>
          <w:kern w:val="0"/>
          <w:sz w:val="36"/>
          <w:szCs w:val="36"/>
          <w:highlight w:val="none"/>
        </w:rPr>
      </w:pPr>
    </w:p>
    <w:p>
      <w:pPr>
        <w:spacing w:line="360"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泉州市洛江区2020年度松材线虫病综合防控专项资金</w:t>
      </w:r>
    </w:p>
    <w:p>
      <w:pPr>
        <w:pStyle w:val="13"/>
        <w:ind w:left="0" w:leftChars="0" w:firstLine="0" w:firstLineChars="0"/>
        <w:rPr>
          <w:color w:val="auto"/>
          <w:highlight w:val="none"/>
        </w:rPr>
      </w:pPr>
    </w:p>
    <w:p>
      <w:pPr>
        <w:pStyle w:val="13"/>
        <w:ind w:left="0" w:leftChars="0" w:firstLine="0" w:firstLineChars="0"/>
        <w:jc w:val="center"/>
        <w:rPr>
          <w:color w:val="auto"/>
          <w:highlight w:val="none"/>
        </w:rPr>
      </w:pPr>
      <w:r>
        <w:rPr>
          <w:rFonts w:hint="eastAsia" w:ascii="华文行楷" w:hAnsi="楷体" w:eastAsia="华文行楷" w:cs="Arial"/>
          <w:b/>
          <w:color w:val="auto"/>
          <w:sz w:val="52"/>
          <w:szCs w:val="52"/>
          <w:highlight w:val="none"/>
        </w:rPr>
        <w:t>绩效评价报告</w:t>
      </w:r>
    </w:p>
    <w:tbl>
      <w:tblPr>
        <w:tblStyle w:val="15"/>
        <w:tblpPr w:leftFromText="180" w:rightFromText="180" w:vertAnchor="text" w:horzAnchor="page" w:tblpX="1777" w:tblpY="41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40"/>
        <w:gridCol w:w="6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6" w:hRule="atLeast"/>
        </w:trPr>
        <w:tc>
          <w:tcPr>
            <w:tcW w:w="2140" w:type="dxa"/>
          </w:tcPr>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r>
              <w:rPr>
                <w:rFonts w:hint="eastAsia" w:ascii="华文中宋" w:hAnsi="华文中宋" w:eastAsia="华文中宋" w:cs="华文中宋"/>
                <w:b/>
                <w:bCs/>
                <w:color w:val="auto"/>
                <w:sz w:val="28"/>
                <w:szCs w:val="28"/>
                <w:highlight w:val="none"/>
              </w:rPr>
              <w:t>编制单位：</w:t>
            </w: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r>
              <w:rPr>
                <w:rFonts w:hint="eastAsia" w:ascii="华文中宋" w:hAnsi="华文中宋" w:eastAsia="华文中宋" w:cs="华文中宋"/>
                <w:b/>
                <w:bCs/>
                <w:color w:val="auto"/>
                <w:sz w:val="28"/>
                <w:szCs w:val="28"/>
                <w:highlight w:val="none"/>
              </w:rPr>
              <w:t>法定代表人：</w:t>
            </w: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r>
              <w:rPr>
                <w:rFonts w:hint="eastAsia" w:ascii="华文中宋" w:hAnsi="华文中宋" w:eastAsia="华文中宋" w:cs="华文中宋"/>
                <w:b/>
                <w:bCs/>
                <w:color w:val="auto"/>
                <w:sz w:val="28"/>
                <w:szCs w:val="28"/>
                <w:highlight w:val="none"/>
              </w:rPr>
              <w:t>主评人：</w:t>
            </w: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r>
              <w:rPr>
                <w:rFonts w:hint="eastAsia" w:ascii="华文中宋" w:hAnsi="华文中宋" w:eastAsia="华文中宋" w:cs="华文中宋"/>
                <w:b/>
                <w:bCs/>
                <w:color w:val="auto"/>
                <w:sz w:val="28"/>
                <w:szCs w:val="28"/>
                <w:highlight w:val="none"/>
              </w:rPr>
              <w:t>主要编制人员：</w:t>
            </w: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r>
              <w:rPr>
                <w:rFonts w:hint="eastAsia" w:ascii="华文中宋" w:hAnsi="华文中宋" w:eastAsia="华文中宋" w:cs="华文中宋"/>
                <w:b/>
                <w:bCs/>
                <w:color w:val="auto"/>
                <w:sz w:val="28"/>
                <w:szCs w:val="28"/>
                <w:highlight w:val="none"/>
              </w:rPr>
              <w:t>技术顾问：</w:t>
            </w: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p>
          <w:p>
            <w:pPr>
              <w:pStyle w:val="13"/>
              <w:spacing w:after="10" w:line="700" w:lineRule="exact"/>
              <w:ind w:left="0" w:leftChars="0" w:firstLine="0" w:firstLineChars="0"/>
              <w:jc w:val="distribute"/>
              <w:rPr>
                <w:rFonts w:ascii="华文中宋" w:hAnsi="华文中宋" w:eastAsia="华文中宋" w:cs="华文中宋"/>
                <w:b/>
                <w:bCs/>
                <w:color w:val="auto"/>
                <w:sz w:val="28"/>
                <w:szCs w:val="28"/>
                <w:highlight w:val="none"/>
              </w:rPr>
            </w:pPr>
          </w:p>
          <w:p>
            <w:pPr>
              <w:pStyle w:val="13"/>
              <w:spacing w:after="10" w:line="700" w:lineRule="exact"/>
              <w:ind w:left="0" w:leftChars="0" w:firstLine="0" w:firstLineChars="0"/>
              <w:jc w:val="distribute"/>
              <w:rPr>
                <w:rFonts w:ascii="华文中宋" w:hAnsi="华文中宋" w:eastAsia="华文中宋" w:cs="华文中宋"/>
                <w:color w:val="auto"/>
                <w:sz w:val="28"/>
                <w:szCs w:val="28"/>
                <w:highlight w:val="none"/>
              </w:rPr>
            </w:pPr>
            <w:r>
              <w:rPr>
                <w:rFonts w:hint="eastAsia" w:ascii="华文中宋" w:hAnsi="华文中宋" w:eastAsia="华文中宋" w:cs="华文中宋"/>
                <w:b/>
                <w:bCs/>
                <w:color w:val="auto"/>
                <w:sz w:val="28"/>
                <w:szCs w:val="28"/>
                <w:highlight w:val="none"/>
              </w:rPr>
              <w:t>评审专家：</w:t>
            </w:r>
          </w:p>
        </w:tc>
        <w:tc>
          <w:tcPr>
            <w:tcW w:w="6653" w:type="dxa"/>
          </w:tcPr>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泉州市招标咨询中心有限公司</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林超群（经济师、管理专家）</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李美美（高级会计师、财务专家）</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赖桥泉（会计师、业务专家）</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陈燕敏（注册会计师）</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王梅玲（会计师）</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蒋鹏飞（高校系主任）</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叶  青（高校讲师）</w:t>
            </w:r>
          </w:p>
          <w:p>
            <w:pPr>
              <w:pStyle w:val="13"/>
              <w:spacing w:after="10" w:line="700" w:lineRule="exact"/>
              <w:ind w:left="0" w:leftChars="0" w:firstLine="0" w:firstLineChars="0"/>
              <w:jc w:val="left"/>
              <w:rPr>
                <w:rFonts w:ascii="华文中宋" w:hAnsi="华文中宋" w:eastAsia="华文中宋" w:cs="华文中宋"/>
                <w:color w:val="auto"/>
                <w:sz w:val="28"/>
                <w:szCs w:val="28"/>
                <w:highlight w:val="none"/>
              </w:rPr>
            </w:pPr>
          </w:p>
          <w:p>
            <w:pPr>
              <w:pStyle w:val="13"/>
              <w:spacing w:after="10" w:line="700" w:lineRule="exact"/>
              <w:ind w:left="0" w:leftChars="0" w:firstLine="0" w:firstLineChars="0"/>
              <w:jc w:val="left"/>
              <w:rPr>
                <w:rFonts w:hint="eastAsia" w:ascii="华文中宋" w:hAnsi="华文中宋" w:eastAsia="华文中宋" w:cs="华文中宋"/>
                <w:color w:val="auto"/>
                <w:sz w:val="28"/>
                <w:szCs w:val="28"/>
                <w:highlight w:val="none"/>
                <w:lang w:val="en-US" w:eastAsia="zh-CN"/>
              </w:rPr>
            </w:pPr>
            <w:r>
              <w:rPr>
                <w:rFonts w:hint="eastAsia" w:ascii="华文中宋" w:hAnsi="华文中宋" w:eastAsia="华文中宋" w:cs="华文中宋"/>
                <w:color w:val="auto"/>
                <w:sz w:val="28"/>
                <w:szCs w:val="28"/>
                <w:highlight w:val="none"/>
                <w:lang w:val="en-US" w:eastAsia="zh-CN"/>
              </w:rPr>
              <w:t>陈莹（高校讲师）</w:t>
            </w:r>
          </w:p>
          <w:p>
            <w:pPr>
              <w:pStyle w:val="13"/>
              <w:spacing w:after="10" w:line="700" w:lineRule="exact"/>
              <w:ind w:left="0" w:leftChars="0" w:firstLine="0" w:firstLineChars="0"/>
              <w:jc w:val="left"/>
              <w:rPr>
                <w:rFonts w:hint="default" w:ascii="华文中宋" w:hAnsi="华文中宋" w:eastAsia="华文中宋" w:cs="华文中宋"/>
                <w:color w:val="auto"/>
                <w:sz w:val="28"/>
                <w:szCs w:val="28"/>
                <w:highlight w:val="none"/>
                <w:lang w:val="en-US" w:eastAsia="zh-CN"/>
              </w:rPr>
            </w:pPr>
            <w:r>
              <w:rPr>
                <w:rFonts w:hint="eastAsia" w:ascii="华文中宋" w:hAnsi="华文中宋" w:eastAsia="华文中宋" w:cs="华文中宋"/>
                <w:color w:val="auto"/>
                <w:sz w:val="28"/>
                <w:szCs w:val="28"/>
                <w:highlight w:val="none"/>
                <w:lang w:val="en-US" w:eastAsia="zh-CN"/>
              </w:rPr>
              <w:t>李芸（高校讲师）</w:t>
            </w:r>
          </w:p>
        </w:tc>
      </w:tr>
    </w:tbl>
    <w:p>
      <w:pPr>
        <w:pStyle w:val="13"/>
        <w:ind w:left="0" w:leftChars="0" w:firstLine="0" w:firstLineChars="0"/>
        <w:rPr>
          <w:rFonts w:ascii="方正小标宋简体" w:hAnsi="宋体" w:eastAsia="方正小标宋简体" w:cs="Arial"/>
          <w:color w:val="auto"/>
          <w:szCs w:val="21"/>
          <w:highlight w:val="none"/>
        </w:rPr>
      </w:pPr>
    </w:p>
    <w:p>
      <w:pPr>
        <w:rPr>
          <w:color w:val="auto"/>
          <w:highlight w:val="none"/>
        </w:rPr>
        <w:sectPr>
          <w:headerReference r:id="rId3" w:type="default"/>
          <w:pgSz w:w="11906" w:h="16838"/>
          <w:pgMar w:top="1440" w:right="1474" w:bottom="1440" w:left="1587" w:header="851" w:footer="992" w:gutter="0"/>
          <w:pgNumType w:start="1"/>
          <w:cols w:space="425" w:num="1"/>
          <w:docGrid w:type="lines" w:linePitch="312" w:charSpace="0"/>
        </w:sectPr>
      </w:pPr>
    </w:p>
    <w:p>
      <w:pPr>
        <w:rPr>
          <w:color w:val="auto"/>
          <w:highlight w:val="none"/>
        </w:rPr>
      </w:pPr>
    </w:p>
    <w:sdt>
      <w:sdtPr>
        <w:rPr>
          <w:rFonts w:ascii="宋体" w:hAnsi="宋体" w:eastAsia="宋体"/>
          <w:color w:val="auto"/>
          <w:highlight w:val="none"/>
        </w:rPr>
        <w:id w:val="147457551"/>
        <w:docPartObj>
          <w:docPartGallery w:val="Table of Contents"/>
          <w:docPartUnique/>
        </w:docPartObj>
      </w:sdtPr>
      <w:sdtEndPr>
        <w:rPr>
          <w:rFonts w:ascii="Times New Roman" w:hAnsi="Times New Roman" w:eastAsia="仿宋" w:cs="Times New Roman"/>
          <w:color w:val="auto"/>
          <w:szCs w:val="24"/>
          <w:highlight w:val="none"/>
        </w:rPr>
      </w:sdtEndPr>
      <w:sdtContent>
        <w:p>
          <w:pPr>
            <w:jc w:val="center"/>
            <w:rPr>
              <w:color w:val="auto"/>
              <w:highlight w:val="none"/>
            </w:rPr>
          </w:pPr>
          <w:r>
            <w:rPr>
              <w:rFonts w:ascii="宋体" w:hAnsi="宋体" w:eastAsia="宋体"/>
              <w:color w:val="auto"/>
              <w:highlight w:val="none"/>
            </w:rPr>
            <w:t>目录</w:t>
          </w:r>
        </w:p>
        <w:p>
          <w:pPr>
            <w:pStyle w:val="10"/>
            <w:rPr>
              <w:rFonts w:asciiTheme="minorHAnsi" w:hAnsiTheme="minorHAnsi" w:eastAsiaTheme="minorEastAsia" w:cstheme="minorBidi"/>
              <w:color w:val="auto"/>
              <w:szCs w:val="22"/>
              <w:highlight w:val="none"/>
            </w:rPr>
          </w:pPr>
          <w:r>
            <w:rPr>
              <w:rFonts w:eastAsia="仿宋"/>
              <w:color w:val="auto"/>
              <w:kern w:val="0"/>
              <w:sz w:val="24"/>
              <w:highlight w:val="none"/>
            </w:rPr>
            <w:fldChar w:fldCharType="begin"/>
          </w:r>
          <w:r>
            <w:rPr>
              <w:rFonts w:eastAsia="仿宋"/>
              <w:color w:val="auto"/>
              <w:sz w:val="24"/>
              <w:highlight w:val="none"/>
            </w:rPr>
            <w:instrText xml:space="preserve">TOC \o "1-3" \h \u </w:instrText>
          </w:r>
          <w:r>
            <w:rPr>
              <w:rFonts w:eastAsia="仿宋"/>
              <w:color w:val="auto"/>
              <w:kern w:val="0"/>
              <w:sz w:val="24"/>
              <w:highlight w:val="none"/>
            </w:rPr>
            <w:fldChar w:fldCharType="separate"/>
          </w:r>
          <w:r>
            <w:rPr>
              <w:color w:val="auto"/>
              <w:highlight w:val="none"/>
            </w:rPr>
            <w:fldChar w:fldCharType="begin"/>
          </w:r>
          <w:r>
            <w:rPr>
              <w:color w:val="auto"/>
              <w:highlight w:val="none"/>
            </w:rPr>
            <w:instrText xml:space="preserve"> HYPERLINK \l "_Toc89024469" </w:instrText>
          </w:r>
          <w:r>
            <w:rPr>
              <w:color w:val="auto"/>
              <w:highlight w:val="none"/>
            </w:rPr>
            <w:fldChar w:fldCharType="separate"/>
          </w:r>
          <w:r>
            <w:rPr>
              <w:rStyle w:val="18"/>
              <w:rFonts w:hint="eastAsia" w:ascii="仿宋" w:hAnsi="仿宋" w:eastAsia="仿宋" w:cs="仿宋"/>
              <w:bCs/>
              <w:color w:val="auto"/>
              <w:highlight w:val="none"/>
            </w:rPr>
            <w:t>前</w:t>
          </w:r>
          <w:r>
            <w:rPr>
              <w:rStyle w:val="18"/>
              <w:rFonts w:ascii="仿宋" w:hAnsi="仿宋" w:eastAsia="仿宋" w:cs="仿宋"/>
              <w:bCs/>
              <w:color w:val="auto"/>
              <w:highlight w:val="none"/>
            </w:rPr>
            <w:t xml:space="preserve"> </w:t>
          </w:r>
          <w:r>
            <w:rPr>
              <w:rStyle w:val="18"/>
              <w:rFonts w:hint="eastAsia" w:ascii="仿宋" w:hAnsi="仿宋" w:eastAsia="仿宋" w:cs="仿宋"/>
              <w:bCs/>
              <w:color w:val="auto"/>
              <w:highlight w:val="none"/>
            </w:rPr>
            <w:t>言</w:t>
          </w:r>
          <w:r>
            <w:rPr>
              <w:color w:val="auto"/>
              <w:highlight w:val="none"/>
            </w:rPr>
            <w:tab/>
          </w:r>
          <w:r>
            <w:rPr>
              <w:color w:val="auto"/>
              <w:highlight w:val="none"/>
            </w:rPr>
            <w:fldChar w:fldCharType="begin"/>
          </w:r>
          <w:r>
            <w:rPr>
              <w:color w:val="auto"/>
              <w:highlight w:val="none"/>
            </w:rPr>
            <w:instrText xml:space="preserve"> PAGEREF _Toc89024469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"_Toc89024470" </w:instrText>
          </w:r>
          <w:r>
            <w:rPr>
              <w:color w:val="auto"/>
              <w:highlight w:val="none"/>
            </w:rPr>
            <w:fldChar w:fldCharType="separate"/>
          </w:r>
          <w:r>
            <w:rPr>
              <w:rStyle w:val="18"/>
              <w:rFonts w:hint="eastAsia" w:ascii="仿宋" w:hAnsi="仿宋" w:eastAsia="仿宋" w:cs="仿宋"/>
              <w:bCs/>
              <w:color w:val="auto"/>
              <w:highlight w:val="none"/>
            </w:rPr>
            <w:t>一、项目概况</w:t>
          </w:r>
          <w:r>
            <w:rPr>
              <w:color w:val="auto"/>
              <w:highlight w:val="none"/>
            </w:rPr>
            <w:tab/>
          </w:r>
          <w:r>
            <w:rPr>
              <w:color w:val="auto"/>
              <w:highlight w:val="none"/>
            </w:rPr>
            <w:fldChar w:fldCharType="begin"/>
          </w:r>
          <w:r>
            <w:rPr>
              <w:color w:val="auto"/>
              <w:highlight w:val="none"/>
            </w:rPr>
            <w:instrText xml:space="preserve"> PAGEREF _Toc89024470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"_Toc89024471" </w:instrText>
          </w:r>
          <w:r>
            <w:rPr>
              <w:color w:val="auto"/>
              <w:highlight w:val="none"/>
            </w:rPr>
            <w:fldChar w:fldCharType="separate"/>
          </w:r>
          <w:r>
            <w:rPr>
              <w:rStyle w:val="18"/>
              <w:rFonts w:hint="eastAsia" w:ascii="仿宋" w:hAnsi="仿宋" w:eastAsia="仿宋" w:cs="仿宋"/>
              <w:color w:val="auto"/>
              <w:highlight w:val="none"/>
            </w:rPr>
            <w:t>（一）项目实施单位情况</w:t>
          </w:r>
          <w:r>
            <w:rPr>
              <w:color w:val="auto"/>
              <w:highlight w:val="none"/>
            </w:rPr>
            <w:tab/>
          </w:r>
          <w:r>
            <w:rPr>
              <w:color w:val="auto"/>
              <w:highlight w:val="none"/>
            </w:rPr>
            <w:fldChar w:fldCharType="begin"/>
          </w:r>
          <w:r>
            <w:rPr>
              <w:color w:val="auto"/>
              <w:highlight w:val="none"/>
            </w:rPr>
            <w:instrText xml:space="preserve"> PAGEREF _Toc89024471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"_Toc89024472" </w:instrText>
          </w:r>
          <w:r>
            <w:rPr>
              <w:color w:val="auto"/>
              <w:highlight w:val="none"/>
            </w:rPr>
            <w:fldChar w:fldCharType="separate"/>
          </w:r>
          <w:r>
            <w:rPr>
              <w:rStyle w:val="18"/>
              <w:rFonts w:hint="eastAsia" w:ascii="仿宋" w:hAnsi="仿宋" w:eastAsia="仿宋" w:cs="仿宋"/>
              <w:color w:val="auto"/>
              <w:highlight w:val="none"/>
            </w:rPr>
            <w:t>（二）项目基本情况</w:t>
          </w:r>
          <w:r>
            <w:rPr>
              <w:color w:val="auto"/>
              <w:highlight w:val="none"/>
            </w:rPr>
            <w:tab/>
          </w:r>
          <w:r>
            <w:rPr>
              <w:color w:val="auto"/>
              <w:highlight w:val="none"/>
            </w:rPr>
            <w:fldChar w:fldCharType="begin"/>
          </w:r>
          <w:r>
            <w:rPr>
              <w:color w:val="auto"/>
              <w:highlight w:val="none"/>
            </w:rPr>
            <w:instrText xml:space="preserve"> PAGEREF _Toc89024472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"_Toc89024473" </w:instrText>
          </w:r>
          <w:r>
            <w:rPr>
              <w:color w:val="auto"/>
              <w:highlight w:val="none"/>
            </w:rPr>
            <w:fldChar w:fldCharType="separate"/>
          </w:r>
          <w:r>
            <w:rPr>
              <w:rStyle w:val="18"/>
              <w:rFonts w:hint="eastAsia" w:ascii="仿宋" w:hAnsi="仿宋" w:eastAsia="仿宋" w:cs="仿宋"/>
              <w:bCs/>
              <w:color w:val="auto"/>
              <w:highlight w:val="none"/>
            </w:rPr>
            <w:t>二、 项目实施基本情况</w:t>
          </w:r>
          <w:r>
            <w:rPr>
              <w:color w:val="auto"/>
              <w:highlight w:val="none"/>
            </w:rPr>
            <w:tab/>
          </w:r>
          <w:r>
            <w:rPr>
              <w:color w:val="auto"/>
              <w:highlight w:val="none"/>
            </w:rPr>
            <w:fldChar w:fldCharType="begin"/>
          </w:r>
          <w:r>
            <w:rPr>
              <w:color w:val="auto"/>
              <w:highlight w:val="none"/>
            </w:rPr>
            <w:instrText xml:space="preserve"> PAGEREF _Toc89024473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"_Toc89024474" </w:instrText>
          </w:r>
          <w:r>
            <w:rPr>
              <w:color w:val="auto"/>
              <w:highlight w:val="none"/>
            </w:rPr>
            <w:fldChar w:fldCharType="separate"/>
          </w:r>
          <w:r>
            <w:rPr>
              <w:rStyle w:val="18"/>
              <w:rFonts w:hint="eastAsia" w:ascii="仿宋" w:hAnsi="仿宋" w:eastAsia="仿宋" w:cs="仿宋"/>
              <w:color w:val="auto"/>
              <w:highlight w:val="none"/>
            </w:rPr>
            <w:t>（一）组织管理情况</w:t>
          </w:r>
          <w:r>
            <w:rPr>
              <w:color w:val="auto"/>
              <w:highlight w:val="none"/>
            </w:rPr>
            <w:tab/>
          </w:r>
          <w:r>
            <w:rPr>
              <w:color w:val="auto"/>
              <w:highlight w:val="none"/>
            </w:rPr>
            <w:fldChar w:fldCharType="begin"/>
          </w:r>
          <w:r>
            <w:rPr>
              <w:color w:val="auto"/>
              <w:highlight w:val="none"/>
            </w:rPr>
            <w:instrText xml:space="preserve"> PAGEREF _Toc89024474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"_Toc89024477" </w:instrText>
          </w:r>
          <w:r>
            <w:rPr>
              <w:color w:val="auto"/>
              <w:highlight w:val="none"/>
            </w:rPr>
            <w:fldChar w:fldCharType="separate"/>
          </w:r>
          <w:r>
            <w:rPr>
              <w:rStyle w:val="18"/>
              <w:rFonts w:hint="eastAsia" w:ascii="仿宋" w:hAnsi="仿宋" w:eastAsia="仿宋" w:cs="仿宋"/>
              <w:color w:val="auto"/>
              <w:highlight w:val="none"/>
            </w:rPr>
            <w:t>（二）财务管理情况</w:t>
          </w:r>
          <w:r>
            <w:rPr>
              <w:color w:val="auto"/>
              <w:highlight w:val="none"/>
            </w:rPr>
            <w:tab/>
          </w:r>
          <w:r>
            <w:rPr>
              <w:color w:val="auto"/>
              <w:highlight w:val="none"/>
            </w:rPr>
            <w:fldChar w:fldCharType="begin"/>
          </w:r>
          <w:r>
            <w:rPr>
              <w:color w:val="auto"/>
              <w:highlight w:val="none"/>
            </w:rPr>
            <w:instrText xml:space="preserve"> PAGEREF _Toc89024477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"_Toc89024478" </w:instrText>
          </w:r>
          <w:r>
            <w:rPr>
              <w:color w:val="auto"/>
              <w:highlight w:val="none"/>
            </w:rPr>
            <w:fldChar w:fldCharType="separate"/>
          </w:r>
          <w:r>
            <w:rPr>
              <w:rStyle w:val="18"/>
              <w:rFonts w:hint="eastAsia" w:ascii="仿宋" w:hAnsi="仿宋" w:eastAsia="仿宋" w:cs="仿宋"/>
              <w:color w:val="auto"/>
              <w:highlight w:val="none"/>
            </w:rPr>
            <w:t>（三）主要成效及经验</w:t>
          </w:r>
          <w:r>
            <w:rPr>
              <w:color w:val="auto"/>
              <w:highlight w:val="none"/>
            </w:rPr>
            <w:tab/>
          </w:r>
          <w:r>
            <w:rPr>
              <w:color w:val="auto"/>
              <w:highlight w:val="none"/>
            </w:rPr>
            <w:fldChar w:fldCharType="begin"/>
          </w:r>
          <w:r>
            <w:rPr>
              <w:color w:val="auto"/>
              <w:highlight w:val="none"/>
            </w:rPr>
            <w:instrText xml:space="preserve"> PAGEREF _Toc89024478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"_Toc89024479" </w:instrText>
          </w:r>
          <w:r>
            <w:rPr>
              <w:color w:val="auto"/>
              <w:highlight w:val="none"/>
            </w:rPr>
            <w:fldChar w:fldCharType="separate"/>
          </w:r>
          <w:r>
            <w:rPr>
              <w:rStyle w:val="18"/>
              <w:rFonts w:hint="eastAsia" w:ascii="仿宋" w:hAnsi="仿宋" w:eastAsia="仿宋" w:cs="仿宋"/>
              <w:color w:val="auto"/>
              <w:highlight w:val="none"/>
            </w:rPr>
            <w:t>三、绩效评价工作情况</w:t>
          </w:r>
          <w:r>
            <w:rPr>
              <w:color w:val="auto"/>
              <w:highlight w:val="none"/>
            </w:rPr>
            <w:tab/>
          </w:r>
          <w:r>
            <w:rPr>
              <w:color w:val="auto"/>
              <w:highlight w:val="none"/>
            </w:rPr>
            <w:fldChar w:fldCharType="begin"/>
          </w:r>
          <w:r>
            <w:rPr>
              <w:color w:val="auto"/>
              <w:highlight w:val="none"/>
            </w:rPr>
            <w:instrText xml:space="preserve"> PAGEREF _Toc89024479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"_Toc89024480" </w:instrText>
          </w:r>
          <w:r>
            <w:rPr>
              <w:color w:val="auto"/>
              <w:highlight w:val="none"/>
            </w:rPr>
            <w:fldChar w:fldCharType="separate"/>
          </w:r>
          <w:r>
            <w:rPr>
              <w:rStyle w:val="18"/>
              <w:rFonts w:hint="eastAsia" w:ascii="仿宋" w:hAnsi="仿宋" w:eastAsia="仿宋" w:cs="仿宋"/>
              <w:color w:val="auto"/>
              <w:highlight w:val="none"/>
            </w:rPr>
            <w:t>（一）评价目的</w:t>
          </w:r>
          <w:r>
            <w:rPr>
              <w:color w:val="auto"/>
              <w:highlight w:val="none"/>
            </w:rPr>
            <w:tab/>
          </w:r>
          <w:r>
            <w:rPr>
              <w:color w:val="auto"/>
              <w:highlight w:val="none"/>
            </w:rPr>
            <w:fldChar w:fldCharType="begin"/>
          </w:r>
          <w:r>
            <w:rPr>
              <w:color w:val="auto"/>
              <w:highlight w:val="none"/>
            </w:rPr>
            <w:instrText xml:space="preserve"> PAGEREF _Toc89024480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"_Toc89024481" </w:instrText>
          </w:r>
          <w:r>
            <w:rPr>
              <w:color w:val="auto"/>
              <w:highlight w:val="none"/>
            </w:rPr>
            <w:fldChar w:fldCharType="separate"/>
          </w:r>
          <w:r>
            <w:rPr>
              <w:rStyle w:val="18"/>
              <w:rFonts w:hint="eastAsia" w:ascii="仿宋" w:hAnsi="仿宋" w:eastAsia="仿宋" w:cs="仿宋"/>
              <w:color w:val="auto"/>
              <w:highlight w:val="none"/>
            </w:rPr>
            <w:t>（二）评价指标</w:t>
          </w:r>
          <w:r>
            <w:rPr>
              <w:color w:val="auto"/>
              <w:highlight w:val="none"/>
            </w:rPr>
            <w:tab/>
          </w:r>
          <w:r>
            <w:rPr>
              <w:color w:val="auto"/>
              <w:highlight w:val="none"/>
            </w:rPr>
            <w:fldChar w:fldCharType="begin"/>
          </w:r>
          <w:r>
            <w:rPr>
              <w:color w:val="auto"/>
              <w:highlight w:val="none"/>
            </w:rPr>
            <w:instrText xml:space="preserve"> PAGEREF _Toc89024481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"_Toc89024482" </w:instrText>
          </w:r>
          <w:r>
            <w:rPr>
              <w:color w:val="auto"/>
              <w:highlight w:val="none"/>
            </w:rPr>
            <w:fldChar w:fldCharType="separate"/>
          </w:r>
          <w:r>
            <w:rPr>
              <w:rStyle w:val="18"/>
              <w:rFonts w:hint="eastAsia" w:ascii="仿宋" w:hAnsi="仿宋" w:eastAsia="仿宋" w:cs="仿宋"/>
              <w:color w:val="auto"/>
              <w:highlight w:val="none"/>
            </w:rPr>
            <w:t>（三）评价依据</w:t>
          </w:r>
          <w:r>
            <w:rPr>
              <w:color w:val="auto"/>
              <w:highlight w:val="none"/>
            </w:rPr>
            <w:tab/>
          </w:r>
          <w:r>
            <w:rPr>
              <w:color w:val="auto"/>
              <w:highlight w:val="none"/>
            </w:rPr>
            <w:fldChar w:fldCharType="begin"/>
          </w:r>
          <w:r>
            <w:rPr>
              <w:color w:val="auto"/>
              <w:highlight w:val="none"/>
            </w:rPr>
            <w:instrText xml:space="preserve"> PAGEREF _Toc89024482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"_Toc89024483" </w:instrText>
          </w:r>
          <w:r>
            <w:rPr>
              <w:color w:val="auto"/>
              <w:highlight w:val="none"/>
            </w:rPr>
            <w:fldChar w:fldCharType="separate"/>
          </w:r>
          <w:r>
            <w:rPr>
              <w:rStyle w:val="18"/>
              <w:rFonts w:hint="eastAsia" w:ascii="仿宋" w:hAnsi="仿宋" w:eastAsia="仿宋" w:cs="仿宋"/>
              <w:color w:val="auto"/>
              <w:highlight w:val="none"/>
            </w:rPr>
            <w:t>（四）评价原则</w:t>
          </w:r>
          <w:r>
            <w:rPr>
              <w:color w:val="auto"/>
              <w:highlight w:val="none"/>
            </w:rPr>
            <w:tab/>
          </w:r>
          <w:r>
            <w:rPr>
              <w:color w:val="auto"/>
              <w:highlight w:val="none"/>
            </w:rPr>
            <w:fldChar w:fldCharType="begin"/>
          </w:r>
          <w:r>
            <w:rPr>
              <w:color w:val="auto"/>
              <w:highlight w:val="none"/>
            </w:rPr>
            <w:instrText xml:space="preserve"> PAGEREF _Toc89024483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"_Toc89024484" </w:instrText>
          </w:r>
          <w:r>
            <w:rPr>
              <w:color w:val="auto"/>
              <w:highlight w:val="none"/>
            </w:rPr>
            <w:fldChar w:fldCharType="separate"/>
          </w:r>
          <w:r>
            <w:rPr>
              <w:rStyle w:val="18"/>
              <w:rFonts w:hint="eastAsia" w:ascii="仿宋" w:hAnsi="仿宋" w:eastAsia="仿宋" w:cs="仿宋"/>
              <w:color w:val="auto"/>
              <w:highlight w:val="none"/>
            </w:rPr>
            <w:t>（五）评定方法和等级设定</w:t>
          </w:r>
          <w:r>
            <w:rPr>
              <w:color w:val="auto"/>
              <w:highlight w:val="none"/>
            </w:rPr>
            <w:tab/>
          </w:r>
          <w:r>
            <w:rPr>
              <w:color w:val="auto"/>
              <w:highlight w:val="none"/>
            </w:rPr>
            <w:fldChar w:fldCharType="begin"/>
          </w:r>
          <w:r>
            <w:rPr>
              <w:color w:val="auto"/>
              <w:highlight w:val="none"/>
            </w:rPr>
            <w:instrText xml:space="preserve"> PAGEREF _Toc89024484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"_Toc89024485" </w:instrText>
          </w:r>
          <w:r>
            <w:rPr>
              <w:color w:val="auto"/>
              <w:highlight w:val="none"/>
            </w:rPr>
            <w:fldChar w:fldCharType="separate"/>
          </w:r>
          <w:r>
            <w:rPr>
              <w:rStyle w:val="18"/>
              <w:rFonts w:hint="eastAsia" w:ascii="仿宋" w:hAnsi="仿宋" w:eastAsia="仿宋" w:cs="仿宋"/>
              <w:color w:val="auto"/>
              <w:highlight w:val="none"/>
            </w:rPr>
            <w:t>（六）组织实施</w:t>
          </w:r>
          <w:r>
            <w:rPr>
              <w:color w:val="auto"/>
              <w:highlight w:val="none"/>
            </w:rPr>
            <w:tab/>
          </w:r>
          <w:r>
            <w:rPr>
              <w:color w:val="auto"/>
              <w:highlight w:val="none"/>
            </w:rPr>
            <w:fldChar w:fldCharType="begin"/>
          </w:r>
          <w:r>
            <w:rPr>
              <w:color w:val="auto"/>
              <w:highlight w:val="none"/>
            </w:rPr>
            <w:instrText xml:space="preserve"> PAGEREF _Toc89024485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"_Toc89024486" </w:instrText>
          </w:r>
          <w:r>
            <w:rPr>
              <w:color w:val="auto"/>
              <w:highlight w:val="none"/>
            </w:rPr>
            <w:fldChar w:fldCharType="separate"/>
          </w:r>
          <w:r>
            <w:rPr>
              <w:rStyle w:val="18"/>
              <w:rFonts w:hint="eastAsia" w:ascii="仿宋" w:hAnsi="仿宋" w:eastAsia="仿宋" w:cs="仿宋"/>
              <w:color w:val="auto"/>
              <w:highlight w:val="none"/>
            </w:rPr>
            <w:t>四、项目绩效评价指标体系及得分情况</w:t>
          </w:r>
          <w:r>
            <w:rPr>
              <w:color w:val="auto"/>
              <w:highlight w:val="none"/>
            </w:rPr>
            <w:tab/>
          </w:r>
          <w:r>
            <w:rPr>
              <w:color w:val="auto"/>
              <w:highlight w:val="none"/>
            </w:rPr>
            <w:fldChar w:fldCharType="begin"/>
          </w:r>
          <w:r>
            <w:rPr>
              <w:color w:val="auto"/>
              <w:highlight w:val="none"/>
            </w:rPr>
            <w:instrText xml:space="preserve"> PAGEREF _Toc89024486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"_Toc89024487" </w:instrText>
          </w:r>
          <w:r>
            <w:rPr>
              <w:color w:val="auto"/>
              <w:highlight w:val="none"/>
            </w:rPr>
            <w:fldChar w:fldCharType="separate"/>
          </w:r>
          <w:r>
            <w:rPr>
              <w:rStyle w:val="18"/>
              <w:rFonts w:hint="eastAsia" w:ascii="仿宋" w:hAnsi="仿宋" w:eastAsia="仿宋" w:cs="仿宋"/>
              <w:color w:val="auto"/>
              <w:highlight w:val="none"/>
            </w:rPr>
            <w:t>五、绩效评价分析</w:t>
          </w:r>
          <w:r>
            <w:rPr>
              <w:color w:val="auto"/>
              <w:highlight w:val="none"/>
            </w:rPr>
            <w:tab/>
          </w:r>
          <w:r>
            <w:rPr>
              <w:color w:val="auto"/>
              <w:highlight w:val="none"/>
            </w:rPr>
            <w:fldChar w:fldCharType="begin"/>
          </w:r>
          <w:r>
            <w:rPr>
              <w:color w:val="auto"/>
              <w:highlight w:val="none"/>
            </w:rPr>
            <w:instrText xml:space="preserve"> PAGEREF _Toc89024487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"_Toc89024488" </w:instrText>
          </w:r>
          <w:r>
            <w:rPr>
              <w:color w:val="auto"/>
              <w:highlight w:val="none"/>
            </w:rPr>
            <w:fldChar w:fldCharType="separate"/>
          </w:r>
          <w:r>
            <w:rPr>
              <w:rStyle w:val="18"/>
              <w:rFonts w:hint="eastAsia" w:ascii="仿宋" w:hAnsi="仿宋" w:eastAsia="仿宋" w:cs="仿宋"/>
              <w:color w:val="auto"/>
              <w:highlight w:val="none"/>
            </w:rPr>
            <w:t>（一）主要扣分事项及原因分析</w:t>
          </w:r>
          <w:r>
            <w:rPr>
              <w:color w:val="auto"/>
              <w:highlight w:val="none"/>
            </w:rPr>
            <w:tab/>
          </w:r>
          <w:r>
            <w:rPr>
              <w:color w:val="auto"/>
              <w:highlight w:val="none"/>
            </w:rPr>
            <w:fldChar w:fldCharType="begin"/>
          </w:r>
          <w:r>
            <w:rPr>
              <w:color w:val="auto"/>
              <w:highlight w:val="none"/>
            </w:rPr>
            <w:instrText xml:space="preserve"> PAGEREF _Toc89024488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"_Toc89024491" </w:instrText>
          </w:r>
          <w:r>
            <w:rPr>
              <w:color w:val="auto"/>
              <w:highlight w:val="none"/>
            </w:rPr>
            <w:fldChar w:fldCharType="separate"/>
          </w:r>
          <w:r>
            <w:rPr>
              <w:rStyle w:val="18"/>
              <w:rFonts w:hint="eastAsia" w:ascii="仿宋" w:hAnsi="仿宋" w:eastAsia="仿宋" w:cs="仿宋"/>
              <w:color w:val="auto"/>
              <w:highlight w:val="none"/>
            </w:rPr>
            <w:t>（二）评价结论</w:t>
          </w:r>
          <w:r>
            <w:rPr>
              <w:color w:val="auto"/>
              <w:highlight w:val="none"/>
            </w:rPr>
            <w:tab/>
          </w:r>
          <w:r>
            <w:rPr>
              <w:color w:val="auto"/>
              <w:highlight w:val="none"/>
            </w:rPr>
            <w:fldChar w:fldCharType="begin"/>
          </w:r>
          <w:r>
            <w:rPr>
              <w:color w:val="auto"/>
              <w:highlight w:val="none"/>
            </w:rPr>
            <w:instrText xml:space="preserve"> PAGEREF _Toc89024491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"_Toc89024492" </w:instrText>
          </w:r>
          <w:r>
            <w:rPr>
              <w:color w:val="auto"/>
              <w:highlight w:val="none"/>
            </w:rPr>
            <w:fldChar w:fldCharType="separate"/>
          </w:r>
          <w:r>
            <w:rPr>
              <w:rStyle w:val="18"/>
              <w:rFonts w:hint="eastAsia" w:ascii="仿宋" w:hAnsi="仿宋" w:eastAsia="仿宋" w:cs="仿宋"/>
              <w:color w:val="auto"/>
              <w:highlight w:val="none"/>
            </w:rPr>
            <w:t>六、 意见建议</w:t>
          </w:r>
          <w:r>
            <w:rPr>
              <w:color w:val="auto"/>
              <w:highlight w:val="none"/>
            </w:rPr>
            <w:tab/>
          </w:r>
          <w:r>
            <w:rPr>
              <w:color w:val="auto"/>
              <w:highlight w:val="none"/>
            </w:rPr>
            <w:fldChar w:fldCharType="begin"/>
          </w:r>
          <w:r>
            <w:rPr>
              <w:color w:val="auto"/>
              <w:highlight w:val="none"/>
            </w:rPr>
            <w:instrText xml:space="preserve"> PAGEREF _Toc89024492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"_Toc89024493" </w:instrText>
          </w:r>
          <w:r>
            <w:rPr>
              <w:color w:val="auto"/>
              <w:highlight w:val="none"/>
            </w:rPr>
            <w:fldChar w:fldCharType="separate"/>
          </w:r>
          <w:r>
            <w:rPr>
              <w:rStyle w:val="18"/>
              <w:rFonts w:hint="eastAsia" w:ascii="仿宋" w:hAnsi="仿宋" w:eastAsia="仿宋" w:cs="仿宋"/>
              <w:color w:val="auto"/>
              <w:highlight w:val="none"/>
            </w:rPr>
            <w:t>（一）加强对施工单位监控管理</w:t>
          </w:r>
          <w:r>
            <w:rPr>
              <w:color w:val="auto"/>
              <w:highlight w:val="none"/>
            </w:rPr>
            <w:tab/>
          </w:r>
          <w:r>
            <w:rPr>
              <w:color w:val="auto"/>
              <w:highlight w:val="none"/>
            </w:rPr>
            <w:fldChar w:fldCharType="begin"/>
          </w:r>
          <w:r>
            <w:rPr>
              <w:color w:val="auto"/>
              <w:highlight w:val="none"/>
            </w:rPr>
            <w:instrText xml:space="preserve"> PAGEREF _Toc89024493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"_Toc89024494" </w:instrText>
          </w:r>
          <w:r>
            <w:rPr>
              <w:color w:val="auto"/>
              <w:highlight w:val="none"/>
            </w:rPr>
            <w:fldChar w:fldCharType="separate"/>
          </w:r>
          <w:r>
            <w:rPr>
              <w:rStyle w:val="18"/>
              <w:rFonts w:hint="eastAsia" w:ascii="仿宋" w:hAnsi="仿宋" w:eastAsia="仿宋" w:cs="仿宋"/>
              <w:color w:val="auto"/>
              <w:highlight w:val="none"/>
            </w:rPr>
            <w:t>（二）加强对验收工作的管理</w:t>
          </w:r>
          <w:r>
            <w:rPr>
              <w:color w:val="auto"/>
              <w:highlight w:val="none"/>
            </w:rPr>
            <w:tab/>
          </w:r>
          <w:r>
            <w:rPr>
              <w:color w:val="auto"/>
              <w:highlight w:val="none"/>
            </w:rPr>
            <w:fldChar w:fldCharType="begin"/>
          </w:r>
          <w:r>
            <w:rPr>
              <w:color w:val="auto"/>
              <w:highlight w:val="none"/>
            </w:rPr>
            <w:instrText xml:space="preserve"> PAGEREF _Toc89024494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"_Toc89024495" </w:instrText>
          </w:r>
          <w:r>
            <w:rPr>
              <w:color w:val="auto"/>
              <w:highlight w:val="none"/>
            </w:rPr>
            <w:fldChar w:fldCharType="separate"/>
          </w:r>
          <w:r>
            <w:rPr>
              <w:rStyle w:val="18"/>
              <w:rFonts w:hint="eastAsia" w:ascii="仿宋" w:hAnsi="仿宋" w:eastAsia="仿宋" w:cs="仿宋"/>
              <w:color w:val="auto"/>
              <w:highlight w:val="none"/>
            </w:rPr>
            <w:t>（三）加强对资金的管理</w:t>
          </w:r>
          <w:r>
            <w:rPr>
              <w:color w:val="auto"/>
              <w:highlight w:val="none"/>
            </w:rPr>
            <w:tab/>
          </w:r>
          <w:r>
            <w:rPr>
              <w:color w:val="auto"/>
              <w:highlight w:val="none"/>
            </w:rPr>
            <w:fldChar w:fldCharType="begin"/>
          </w:r>
          <w:r>
            <w:rPr>
              <w:color w:val="auto"/>
              <w:highlight w:val="none"/>
            </w:rPr>
            <w:instrText xml:space="preserve"> PAGEREF _Toc89024495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"_Toc89024496" </w:instrText>
          </w:r>
          <w:r>
            <w:rPr>
              <w:color w:val="auto"/>
              <w:highlight w:val="none"/>
            </w:rPr>
            <w:fldChar w:fldCharType="separate"/>
          </w:r>
          <w:r>
            <w:rPr>
              <w:rStyle w:val="18"/>
              <w:rFonts w:hint="eastAsia" w:ascii="仿宋" w:hAnsi="仿宋" w:eastAsia="仿宋" w:cs="仿宋"/>
              <w:color w:val="auto"/>
              <w:highlight w:val="none"/>
            </w:rPr>
            <w:t>（四）加强人才引进和基层人员专业培训</w:t>
          </w:r>
          <w:r>
            <w:rPr>
              <w:color w:val="auto"/>
              <w:highlight w:val="none"/>
            </w:rPr>
            <w:tab/>
          </w:r>
          <w:r>
            <w:rPr>
              <w:color w:val="auto"/>
              <w:highlight w:val="none"/>
            </w:rPr>
            <w:fldChar w:fldCharType="begin"/>
          </w:r>
          <w:r>
            <w:rPr>
              <w:color w:val="auto"/>
              <w:highlight w:val="none"/>
            </w:rPr>
            <w:instrText xml:space="preserve"> PAGEREF _Toc89024496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"_Toc89024497" </w:instrText>
          </w:r>
          <w:r>
            <w:rPr>
              <w:color w:val="auto"/>
              <w:highlight w:val="none"/>
            </w:rPr>
            <w:fldChar w:fldCharType="separate"/>
          </w:r>
          <w:r>
            <w:rPr>
              <w:rStyle w:val="18"/>
              <w:rFonts w:hint="eastAsia" w:ascii="仿宋" w:hAnsi="仿宋" w:eastAsia="仿宋" w:cs="仿宋"/>
              <w:color w:val="auto"/>
              <w:highlight w:val="none"/>
            </w:rPr>
            <w:t>（五）加强项目的宣传工作</w:t>
          </w:r>
          <w:r>
            <w:rPr>
              <w:color w:val="auto"/>
              <w:highlight w:val="none"/>
            </w:rPr>
            <w:tab/>
          </w:r>
          <w:r>
            <w:rPr>
              <w:color w:val="auto"/>
              <w:highlight w:val="none"/>
            </w:rPr>
            <w:fldChar w:fldCharType="begin"/>
          </w:r>
          <w:r>
            <w:rPr>
              <w:color w:val="auto"/>
              <w:highlight w:val="none"/>
            </w:rPr>
            <w:instrText xml:space="preserve"> PAGEREF _Toc89024497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"_Toc89024498" </w:instrText>
          </w:r>
          <w:r>
            <w:rPr>
              <w:color w:val="auto"/>
              <w:highlight w:val="none"/>
            </w:rPr>
            <w:fldChar w:fldCharType="separate"/>
          </w:r>
          <w:r>
            <w:rPr>
              <w:rStyle w:val="18"/>
              <w:rFonts w:hint="eastAsia" w:ascii="仿宋" w:hAnsi="仿宋" w:eastAsia="仿宋" w:cs="仿宋"/>
              <w:bCs/>
              <w:color w:val="auto"/>
              <w:highlight w:val="none"/>
            </w:rPr>
            <w:t>七、其他需说明的事项</w:t>
          </w:r>
          <w:r>
            <w:rPr>
              <w:color w:val="auto"/>
              <w:highlight w:val="none"/>
            </w:rPr>
            <w:tab/>
          </w:r>
          <w:r>
            <w:rPr>
              <w:color w:val="auto"/>
              <w:highlight w:val="none"/>
            </w:rPr>
            <w:fldChar w:fldCharType="begin"/>
          </w:r>
          <w:r>
            <w:rPr>
              <w:color w:val="auto"/>
              <w:highlight w:val="none"/>
            </w:rPr>
            <w:instrText xml:space="preserve"> PAGEREF _Toc89024498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"_Toc89024499" </w:instrText>
          </w:r>
          <w:r>
            <w:rPr>
              <w:color w:val="auto"/>
              <w:highlight w:val="none"/>
            </w:rPr>
            <w:fldChar w:fldCharType="separate"/>
          </w:r>
          <w:r>
            <w:rPr>
              <w:rStyle w:val="18"/>
              <w:rFonts w:hint="eastAsia" w:ascii="仿宋" w:hAnsi="仿宋" w:eastAsia="仿宋" w:cs="仿宋"/>
              <w:bCs/>
              <w:color w:val="auto"/>
              <w:highlight w:val="none"/>
            </w:rPr>
            <w:t>八、附件说明</w:t>
          </w:r>
          <w:r>
            <w:rPr>
              <w:color w:val="auto"/>
              <w:highlight w:val="none"/>
            </w:rPr>
            <w:tab/>
          </w:r>
          <w:r>
            <w:rPr>
              <w:color w:val="auto"/>
              <w:highlight w:val="none"/>
            </w:rPr>
            <w:fldChar w:fldCharType="begin"/>
          </w:r>
          <w:r>
            <w:rPr>
              <w:color w:val="auto"/>
              <w:highlight w:val="none"/>
            </w:rPr>
            <w:instrText xml:space="preserve"> PAGEREF _Toc89024499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"_Toc89024500" </w:instrText>
          </w:r>
          <w:r>
            <w:rPr>
              <w:color w:val="auto"/>
              <w:highlight w:val="none"/>
            </w:rPr>
            <w:fldChar w:fldCharType="separate"/>
          </w:r>
          <w:r>
            <w:rPr>
              <w:rStyle w:val="18"/>
              <w:rFonts w:hint="eastAsia" w:ascii="仿宋" w:hAnsi="仿宋" w:eastAsia="仿宋" w:cs="仿宋"/>
              <w:color w:val="auto"/>
              <w:kern w:val="0"/>
              <w:highlight w:val="none"/>
            </w:rPr>
            <w:t>附件</w:t>
          </w:r>
          <w:r>
            <w:rPr>
              <w:rStyle w:val="18"/>
              <w:rFonts w:ascii="仿宋" w:hAnsi="仿宋" w:eastAsia="仿宋" w:cs="仿宋"/>
              <w:color w:val="auto"/>
              <w:kern w:val="0"/>
              <w:highlight w:val="none"/>
            </w:rPr>
            <w:t xml:space="preserve">1  </w:t>
          </w:r>
          <w:r>
            <w:rPr>
              <w:rStyle w:val="18"/>
              <w:rFonts w:hint="eastAsia" w:ascii="仿宋" w:hAnsi="仿宋" w:eastAsia="仿宋" w:cs="仿宋"/>
              <w:color w:val="auto"/>
              <w:kern w:val="0"/>
              <w:highlight w:val="none"/>
            </w:rPr>
            <w:t>泉州市</w:t>
          </w:r>
          <w:r>
            <w:rPr>
              <w:rStyle w:val="18"/>
              <w:rFonts w:hint="eastAsia" w:ascii="仿宋" w:hAnsi="仿宋" w:eastAsia="仿宋" w:cs="仿宋"/>
              <w:color w:val="auto"/>
              <w:highlight w:val="none"/>
            </w:rPr>
            <w:t>洛江区</w:t>
          </w:r>
          <w:r>
            <w:rPr>
              <w:rStyle w:val="18"/>
              <w:rFonts w:ascii="仿宋" w:hAnsi="仿宋" w:eastAsia="仿宋" w:cs="仿宋"/>
              <w:color w:val="auto"/>
              <w:highlight w:val="none"/>
            </w:rPr>
            <w:t>2020</w:t>
          </w:r>
          <w:r>
            <w:rPr>
              <w:rStyle w:val="18"/>
              <w:rFonts w:hint="eastAsia" w:ascii="仿宋" w:hAnsi="仿宋" w:eastAsia="仿宋" w:cs="仿宋"/>
              <w:color w:val="auto"/>
              <w:highlight w:val="none"/>
            </w:rPr>
            <w:t>年度松材线虫病综合防控专项资金绩效评价</w:t>
          </w:r>
          <w:r>
            <w:rPr>
              <w:rStyle w:val="18"/>
              <w:rFonts w:hint="eastAsia" w:ascii="仿宋" w:hAnsi="仿宋" w:eastAsia="仿宋" w:cs="仿宋"/>
              <w:color w:val="auto"/>
              <w:kern w:val="0"/>
              <w:highlight w:val="none"/>
            </w:rPr>
            <w:t>调查问卷</w:t>
          </w:r>
          <w:r>
            <w:rPr>
              <w:color w:val="auto"/>
              <w:highlight w:val="none"/>
            </w:rPr>
            <w:tab/>
          </w:r>
          <w:r>
            <w:rPr>
              <w:color w:val="auto"/>
              <w:highlight w:val="none"/>
            </w:rPr>
            <w:fldChar w:fldCharType="begin"/>
          </w:r>
          <w:r>
            <w:rPr>
              <w:color w:val="auto"/>
              <w:highlight w:val="none"/>
            </w:rPr>
            <w:instrText xml:space="preserve"> PAGEREF _Toc89024500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"_Toc89024501" </w:instrText>
          </w:r>
          <w:r>
            <w:rPr>
              <w:color w:val="auto"/>
              <w:highlight w:val="none"/>
            </w:rPr>
            <w:fldChar w:fldCharType="separate"/>
          </w:r>
          <w:r>
            <w:rPr>
              <w:rStyle w:val="18"/>
              <w:rFonts w:hint="eastAsia" w:ascii="仿宋" w:hAnsi="仿宋" w:eastAsia="仿宋" w:cs="仿宋"/>
              <w:color w:val="auto"/>
              <w:kern w:val="0"/>
              <w:highlight w:val="none"/>
            </w:rPr>
            <w:t>附件</w:t>
          </w:r>
          <w:r>
            <w:rPr>
              <w:rStyle w:val="18"/>
              <w:rFonts w:ascii="仿宋" w:hAnsi="仿宋" w:eastAsia="仿宋" w:cs="仿宋"/>
              <w:color w:val="auto"/>
              <w:kern w:val="0"/>
              <w:highlight w:val="none"/>
            </w:rPr>
            <w:t xml:space="preserve">2  </w:t>
          </w:r>
          <w:r>
            <w:rPr>
              <w:rStyle w:val="18"/>
              <w:rFonts w:hint="eastAsia" w:ascii="仿宋" w:hAnsi="仿宋" w:eastAsia="仿宋" w:cs="仿宋"/>
              <w:color w:val="auto"/>
              <w:kern w:val="0"/>
              <w:highlight w:val="none"/>
            </w:rPr>
            <w:t>现场调研照片</w:t>
          </w:r>
          <w:r>
            <w:rPr>
              <w:color w:val="auto"/>
              <w:highlight w:val="none"/>
            </w:rPr>
            <w:tab/>
          </w:r>
          <w:r>
            <w:rPr>
              <w:color w:val="auto"/>
              <w:highlight w:val="none"/>
            </w:rPr>
            <w:fldChar w:fldCharType="begin"/>
          </w:r>
          <w:r>
            <w:rPr>
              <w:color w:val="auto"/>
              <w:highlight w:val="none"/>
            </w:rPr>
            <w:instrText xml:space="preserve"> PAGEREF _Toc89024501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"_Toc89024502" </w:instrText>
          </w:r>
          <w:r>
            <w:rPr>
              <w:color w:val="auto"/>
              <w:highlight w:val="none"/>
            </w:rPr>
            <w:fldChar w:fldCharType="separate"/>
          </w:r>
          <w:r>
            <w:rPr>
              <w:rStyle w:val="18"/>
              <w:rFonts w:hint="eastAsia" w:ascii="仿宋" w:hAnsi="仿宋" w:eastAsia="仿宋" w:cs="仿宋"/>
              <w:bCs/>
              <w:color w:val="auto"/>
              <w:kern w:val="0"/>
              <w:highlight w:val="none"/>
            </w:rPr>
            <w:t>附件</w:t>
          </w:r>
          <w:r>
            <w:rPr>
              <w:rStyle w:val="18"/>
              <w:rFonts w:ascii="仿宋" w:hAnsi="仿宋" w:eastAsia="仿宋" w:cs="仿宋"/>
              <w:bCs/>
              <w:color w:val="auto"/>
              <w:kern w:val="0"/>
              <w:highlight w:val="none"/>
            </w:rPr>
            <w:t xml:space="preserve">1  </w:t>
          </w:r>
          <w:r>
            <w:rPr>
              <w:rStyle w:val="18"/>
              <w:rFonts w:hint="eastAsia" w:ascii="仿宋" w:hAnsi="仿宋" w:eastAsia="仿宋" w:cs="仿宋"/>
              <w:bCs/>
              <w:color w:val="auto"/>
              <w:kern w:val="0"/>
              <w:highlight w:val="none"/>
            </w:rPr>
            <w:t>泉州市</w:t>
          </w:r>
          <w:r>
            <w:rPr>
              <w:rStyle w:val="18"/>
              <w:rFonts w:hint="eastAsia" w:ascii="仿宋" w:hAnsi="仿宋" w:eastAsia="仿宋" w:cs="仿宋"/>
              <w:bCs/>
              <w:color w:val="auto"/>
              <w:highlight w:val="none"/>
            </w:rPr>
            <w:t>洛江区</w:t>
          </w:r>
          <w:r>
            <w:rPr>
              <w:rStyle w:val="18"/>
              <w:rFonts w:ascii="仿宋" w:hAnsi="仿宋" w:eastAsia="仿宋" w:cs="仿宋"/>
              <w:bCs/>
              <w:color w:val="auto"/>
              <w:highlight w:val="none"/>
            </w:rPr>
            <w:t>2020</w:t>
          </w:r>
          <w:r>
            <w:rPr>
              <w:rStyle w:val="18"/>
              <w:rFonts w:hint="eastAsia" w:ascii="仿宋" w:hAnsi="仿宋" w:eastAsia="仿宋" w:cs="仿宋"/>
              <w:bCs/>
              <w:color w:val="auto"/>
              <w:highlight w:val="none"/>
            </w:rPr>
            <w:t>年度松材线虫病综合防控专项资金绩效评价</w:t>
          </w:r>
          <w:r>
            <w:rPr>
              <w:rStyle w:val="18"/>
              <w:rFonts w:hint="eastAsia" w:ascii="仿宋" w:hAnsi="仿宋" w:eastAsia="仿宋" w:cs="仿宋"/>
              <w:bCs/>
              <w:color w:val="auto"/>
              <w:kern w:val="0"/>
              <w:highlight w:val="none"/>
            </w:rPr>
            <w:t>调查问卷</w:t>
          </w:r>
          <w:r>
            <w:rPr>
              <w:color w:val="auto"/>
              <w:highlight w:val="none"/>
            </w:rPr>
            <w:tab/>
          </w:r>
          <w:r>
            <w:rPr>
              <w:color w:val="auto"/>
              <w:highlight w:val="none"/>
            </w:rPr>
            <w:fldChar w:fldCharType="begin"/>
          </w:r>
          <w:r>
            <w:rPr>
              <w:color w:val="auto"/>
              <w:highlight w:val="none"/>
            </w:rPr>
            <w:instrText xml:space="preserve"> PAGEREF _Toc89024502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0"/>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"_Toc89024503" </w:instrText>
          </w:r>
          <w:r>
            <w:rPr>
              <w:color w:val="auto"/>
              <w:highlight w:val="none"/>
            </w:rPr>
            <w:fldChar w:fldCharType="separate"/>
          </w:r>
          <w:r>
            <w:rPr>
              <w:rStyle w:val="18"/>
              <w:rFonts w:hint="eastAsia" w:ascii="仿宋" w:hAnsi="仿宋" w:eastAsia="仿宋" w:cs="仿宋"/>
              <w:bCs/>
              <w:color w:val="auto"/>
              <w:kern w:val="0"/>
              <w:highlight w:val="none"/>
            </w:rPr>
            <w:t>附件</w:t>
          </w:r>
          <w:r>
            <w:rPr>
              <w:rStyle w:val="18"/>
              <w:rFonts w:ascii="仿宋" w:hAnsi="仿宋" w:eastAsia="仿宋" w:cs="仿宋"/>
              <w:bCs/>
              <w:color w:val="auto"/>
              <w:kern w:val="0"/>
              <w:highlight w:val="none"/>
            </w:rPr>
            <w:t xml:space="preserve">2  </w:t>
          </w:r>
          <w:r>
            <w:rPr>
              <w:rStyle w:val="18"/>
              <w:rFonts w:hint="eastAsia" w:ascii="仿宋" w:hAnsi="仿宋" w:eastAsia="仿宋" w:cs="仿宋"/>
              <w:bCs/>
              <w:color w:val="auto"/>
              <w:kern w:val="0"/>
              <w:highlight w:val="none"/>
            </w:rPr>
            <w:t>现场调研照片</w:t>
          </w:r>
          <w:r>
            <w:rPr>
              <w:color w:val="auto"/>
              <w:highlight w:val="none"/>
            </w:rPr>
            <w:tab/>
          </w:r>
          <w:r>
            <w:rPr>
              <w:color w:val="auto"/>
              <w:highlight w:val="none"/>
            </w:rPr>
            <w:fldChar w:fldCharType="begin"/>
          </w:r>
          <w:r>
            <w:rPr>
              <w:color w:val="auto"/>
              <w:highlight w:val="none"/>
            </w:rPr>
            <w:instrText xml:space="preserve"> PAGEREF _Toc89024503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widowControl/>
            <w:jc w:val="left"/>
            <w:rPr>
              <w:rFonts w:ascii="Times New Roman" w:hAnsi="Times New Roman" w:eastAsia="仿宋" w:cs="Times New Roman"/>
              <w:color w:val="auto"/>
              <w:sz w:val="24"/>
              <w:szCs w:val="24"/>
              <w:highlight w:val="none"/>
            </w:rPr>
            <w:sectPr>
              <w:footerReference r:id="rId4"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 w:cs="Times New Roman"/>
              <w:color w:val="auto"/>
              <w:szCs w:val="24"/>
              <w:highlight w:val="none"/>
            </w:rPr>
            <w:fldChar w:fldCharType="end"/>
          </w:r>
        </w:p>
      </w:sdtContent>
    </w:sdt>
    <w:p>
      <w:pPr>
        <w:shd w:val="clear" w:color="auto" w:fill="FFFFFF" w:themeFill="background1"/>
        <w:jc w:val="center"/>
        <w:outlineLvl w:val="0"/>
        <w:rPr>
          <w:rFonts w:ascii="仿宋" w:hAnsi="仿宋" w:eastAsia="仿宋" w:cs="仿宋"/>
          <w:color w:val="auto"/>
          <w:sz w:val="28"/>
          <w:szCs w:val="28"/>
          <w:highlight w:val="none"/>
        </w:rPr>
      </w:pPr>
      <w:bookmarkStart w:id="0" w:name="_Toc89024469"/>
      <w:bookmarkStart w:id="1" w:name="_Toc13741"/>
      <w:r>
        <w:rPr>
          <w:rFonts w:hint="eastAsia" w:ascii="仿宋" w:hAnsi="仿宋" w:eastAsia="仿宋" w:cs="仿宋"/>
          <w:b/>
          <w:bCs/>
          <w:color w:val="auto"/>
          <w:sz w:val="28"/>
          <w:szCs w:val="28"/>
          <w:highlight w:val="none"/>
        </w:rPr>
        <w:t>前 言</w:t>
      </w:r>
      <w:bookmarkEnd w:id="0"/>
      <w:bookmarkEnd w:id="1"/>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为加强财政资金管理，强化支出责任，提高财政资金的使用效益，建立科学、合理的财政支出绩效评价管理体系，为领导决策提供科学有力的依据。泉州市招标咨询中心地方财政绩效评价所接受泉州市洛江区财政局委托，组织专业人员成立绩效评价工作组，根据《中华人民共和国预算法》《中共中央国务院关于全面实施预算绩效管理的意见》规定，按照财政部《关于印发&lt;项目支出绩效评价管理办法&gt;的通知》（财预〔2020〕10号）、《福建省财政支出绩效评价管理办法》（闽财绩〔2015〕4号）、《2020年度县（市、区）、泉州开发区、泉州台商投资区绩效考评指标解释的通知》（泉效办〔2020〕4号）等有关文件要求，于2021年8月至10月对泉州市洛江区2020年度松材线虫病综合防控专项资金开展绩效评价工作。按照财政部《第三方机构预算绩效评价业务监督管理暂行办法》（财监〔2021〕4号）的要求，以第三方身份出具报告。评价报告主要供泉州市洛江区财政局了解松材线虫病综合防控专项资金支出的绩效情况，并据以加强对未来该项资金拨付、使用的管理。</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绩效评价的对象为2020年度公共财政预算下拨的松材线虫病综合防控专项资金，共计543.687万元，其中泉州市洛江区财政局下拨438.187万元。绩效评价工作小组在收集、整理、汇总、分析相关资料的基础上，通过查账、实地调研和问卷调查等方式进行了解核实，并对相关评价指标进行汇总分析，对照评价指标和标准进行评议打分，形成《泉州市洛江区2020年度松材线虫病综合防控专项资金绩效评价报告》。</w:t>
      </w:r>
    </w:p>
    <w:p>
      <w:pPr>
        <w:pStyle w:val="2"/>
        <w:rPr>
          <w:color w:val="auto"/>
          <w:highlight w:val="none"/>
        </w:rPr>
      </w:pPr>
    </w:p>
    <w:p>
      <w:pPr>
        <w:ind w:firstLine="562" w:firstLineChars="200"/>
        <w:outlineLvl w:val="0"/>
        <w:rPr>
          <w:rFonts w:ascii="仿宋" w:hAnsi="仿宋" w:eastAsia="仿宋" w:cs="仿宋"/>
          <w:b/>
          <w:bCs/>
          <w:color w:val="auto"/>
          <w:sz w:val="28"/>
          <w:szCs w:val="28"/>
          <w:highlight w:val="none"/>
        </w:rPr>
      </w:pPr>
      <w:bookmarkStart w:id="2" w:name="_Toc89024470"/>
      <w:r>
        <w:rPr>
          <w:rFonts w:hint="eastAsia" w:ascii="仿宋" w:hAnsi="仿宋" w:eastAsia="仿宋" w:cs="仿宋"/>
          <w:b/>
          <w:bCs/>
          <w:color w:val="auto"/>
          <w:sz w:val="28"/>
          <w:szCs w:val="28"/>
          <w:highlight w:val="none"/>
        </w:rPr>
        <w:t>一、项目概况</w:t>
      </w:r>
      <w:bookmarkEnd w:id="2"/>
    </w:p>
    <w:p>
      <w:pPr>
        <w:pStyle w:val="3"/>
        <w:spacing w:before="0" w:after="0" w:line="240" w:lineRule="auto"/>
        <w:ind w:firstLine="562" w:firstLineChars="200"/>
        <w:rPr>
          <w:rFonts w:ascii="仿宋" w:hAnsi="仿宋" w:eastAsia="仿宋" w:cs="仿宋"/>
          <w:b w:val="0"/>
          <w:color w:val="auto"/>
          <w:sz w:val="28"/>
          <w:szCs w:val="28"/>
          <w:highlight w:val="none"/>
        </w:rPr>
      </w:pPr>
      <w:bookmarkStart w:id="3" w:name="_Toc89024471"/>
      <w:r>
        <w:rPr>
          <w:rFonts w:hint="eastAsia" w:ascii="仿宋" w:hAnsi="仿宋" w:eastAsia="仿宋" w:cs="仿宋"/>
          <w:bCs w:val="0"/>
          <w:color w:val="auto"/>
          <w:sz w:val="28"/>
          <w:szCs w:val="28"/>
          <w:highlight w:val="none"/>
        </w:rPr>
        <w:t>（一）项目实施单位情况</w:t>
      </w:r>
      <w:bookmarkEnd w:id="3"/>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2020年泉州市洛江区松材线虫病综合防控项目由泉州市洛江区自然资源局负责领导和统筹协调，项目具体负责单位为泉州市洛江区自然资源局下属的</w:t>
      </w:r>
      <w:r>
        <w:rPr>
          <w:rFonts w:hint="eastAsia" w:ascii="仿宋" w:hAnsi="仿宋" w:eastAsia="仿宋" w:cs="仿宋"/>
          <w:color w:val="auto"/>
          <w:sz w:val="28"/>
          <w:szCs w:val="28"/>
          <w:highlight w:val="none"/>
          <w:lang w:val="en-US" w:eastAsia="zh-CN"/>
        </w:rPr>
        <w:t>森林病虫害防治检疫站</w:t>
      </w:r>
      <w:r>
        <w:rPr>
          <w:rFonts w:hint="eastAsia" w:ascii="仿宋" w:hAnsi="仿宋" w:eastAsia="仿宋" w:cs="仿宋"/>
          <w:color w:val="auto"/>
          <w:sz w:val="28"/>
          <w:szCs w:val="28"/>
          <w:highlight w:val="none"/>
        </w:rPr>
        <w:t>，项目实施单位为虹山乡人民政府、罗溪镇人民政府、罗溪国有林场、马甲镇人民政府（含加锥国有农场）、河市镇人民政府、双阳街道办事处、万安街道办事处。</w:t>
      </w:r>
      <w:r>
        <w:rPr>
          <w:rFonts w:hint="eastAsia" w:ascii="仿宋" w:hAnsi="仿宋" w:eastAsia="仿宋" w:cs="仿宋"/>
          <w:color w:val="auto"/>
          <w:sz w:val="28"/>
          <w:szCs w:val="28"/>
          <w:highlight w:val="none"/>
          <w:lang w:val="en-US" w:eastAsia="zh-CN"/>
        </w:rPr>
        <w:t>森林病虫害防治检疫站</w:t>
      </w:r>
      <w:r>
        <w:rPr>
          <w:rFonts w:hint="eastAsia" w:ascii="仿宋" w:hAnsi="仿宋" w:eastAsia="仿宋" w:cs="仿宋"/>
          <w:color w:val="auto"/>
          <w:sz w:val="28"/>
          <w:szCs w:val="28"/>
          <w:highlight w:val="none"/>
        </w:rPr>
        <w:t>主要职能是开展松材线虫病疫情监测，积极开展松林除治性采伐改造和预防性采伐改造，全面清理松枯死木并就近就地除害处理，综合防治媒介昆虫松墨天牛，加强检疫执法。</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4" w:name="_Toc89024472"/>
      <w:r>
        <w:rPr>
          <w:rFonts w:hint="eastAsia" w:ascii="仿宋" w:hAnsi="仿宋" w:eastAsia="仿宋" w:cs="仿宋"/>
          <w:bCs w:val="0"/>
          <w:color w:val="auto"/>
          <w:sz w:val="28"/>
          <w:szCs w:val="28"/>
          <w:highlight w:val="none"/>
        </w:rPr>
        <w:t>（二）项目基本情况</w:t>
      </w:r>
      <w:bookmarkEnd w:id="4"/>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1.立项依据：《洛江区 2020 年松材线虫病防治实施方案》（洛疫防部〔2019〕19号）。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项目绩效目标：洛江区全区要实现“三个百分百”，包括：松材线虫病疫情监测覆盖率100%、松枯死木清理和疫木除害处理合格率100%、媒介松墨天牛防治率100%；实现“两个不”，即疫区数量不增加、受灾面积不扩大；松枯死木数量较上年降低30%，松枯死木分布面积较上年下降10%以上；对孤立疫情发生小班采取防治性采伐改造，消除疫情隐患，完成上级下达的松林采伐改造任务。</w:t>
      </w:r>
    </w:p>
    <w:p>
      <w:pPr>
        <w:ind w:firstLine="562" w:firstLineChars="200"/>
        <w:rPr>
          <w:rFonts w:ascii="仿宋" w:hAnsi="仿宋" w:eastAsia="仿宋" w:cs="仿宋"/>
          <w:b/>
          <w:bCs/>
          <w:color w:val="auto"/>
          <w:sz w:val="28"/>
          <w:szCs w:val="28"/>
          <w:highlight w:val="none"/>
        </w:rPr>
      </w:pPr>
    </w:p>
    <w:p>
      <w:pPr>
        <w:numPr>
          <w:ilvl w:val="0"/>
          <w:numId w:val="1"/>
        </w:numPr>
        <w:ind w:firstLine="562" w:firstLineChars="200"/>
        <w:outlineLvl w:val="0"/>
        <w:rPr>
          <w:rFonts w:ascii="仿宋" w:hAnsi="仿宋" w:eastAsia="仿宋" w:cs="仿宋"/>
          <w:b/>
          <w:bCs/>
          <w:color w:val="auto"/>
          <w:sz w:val="28"/>
          <w:szCs w:val="28"/>
          <w:highlight w:val="none"/>
        </w:rPr>
      </w:pPr>
      <w:bookmarkStart w:id="5" w:name="_Toc89024473"/>
      <w:r>
        <w:rPr>
          <w:rFonts w:hint="eastAsia" w:ascii="仿宋" w:hAnsi="仿宋" w:eastAsia="仿宋" w:cs="仿宋"/>
          <w:b/>
          <w:bCs/>
          <w:color w:val="auto"/>
          <w:sz w:val="28"/>
          <w:szCs w:val="28"/>
          <w:highlight w:val="none"/>
        </w:rPr>
        <w:t>项目实施基本情况</w:t>
      </w:r>
      <w:bookmarkEnd w:id="5"/>
    </w:p>
    <w:p>
      <w:pPr>
        <w:pStyle w:val="3"/>
        <w:spacing w:before="0" w:after="0" w:line="240" w:lineRule="auto"/>
        <w:ind w:firstLine="562" w:firstLineChars="200"/>
        <w:rPr>
          <w:rFonts w:ascii="仿宋" w:hAnsi="仿宋" w:eastAsia="仿宋" w:cs="仿宋"/>
          <w:bCs w:val="0"/>
          <w:color w:val="auto"/>
          <w:sz w:val="28"/>
          <w:szCs w:val="28"/>
          <w:highlight w:val="none"/>
        </w:rPr>
      </w:pPr>
      <w:bookmarkStart w:id="6" w:name="_Toc89024474"/>
      <w:r>
        <w:rPr>
          <w:rFonts w:hint="eastAsia" w:ascii="仿宋" w:hAnsi="仿宋" w:eastAsia="仿宋" w:cs="仿宋"/>
          <w:bCs w:val="0"/>
          <w:color w:val="auto"/>
          <w:sz w:val="28"/>
          <w:szCs w:val="28"/>
          <w:highlight w:val="none"/>
        </w:rPr>
        <w:t>（一）组织管理情况</w:t>
      </w:r>
      <w:bookmarkEnd w:id="6"/>
    </w:p>
    <w:p>
      <w:pPr>
        <w:ind w:firstLine="560" w:firstLineChars="200"/>
        <w:outlineLvl w:val="2"/>
        <w:rPr>
          <w:rFonts w:ascii="仿宋" w:hAnsi="仿宋" w:eastAsia="仿宋" w:cs="仿宋"/>
          <w:color w:val="auto"/>
          <w:sz w:val="28"/>
          <w:szCs w:val="28"/>
          <w:highlight w:val="none"/>
        </w:rPr>
      </w:pPr>
      <w:bookmarkStart w:id="7" w:name="_Toc89024475"/>
      <w:r>
        <w:rPr>
          <w:rFonts w:hint="eastAsia" w:ascii="仿宋" w:hAnsi="仿宋" w:eastAsia="仿宋" w:cs="仿宋"/>
          <w:color w:val="auto"/>
          <w:sz w:val="28"/>
          <w:szCs w:val="28"/>
          <w:highlight w:val="none"/>
        </w:rPr>
        <w:t>1.项目基本要求</w:t>
      </w:r>
      <w:bookmarkEnd w:id="7"/>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2019年9月</w:t>
      </w:r>
      <w:r>
        <w:rPr>
          <w:rFonts w:hint="eastAsia" w:ascii="仿宋" w:hAnsi="仿宋" w:eastAsia="仿宋" w:cs="仿宋"/>
          <w:color w:val="auto"/>
          <w:sz w:val="28"/>
          <w:szCs w:val="28"/>
          <w:highlight w:val="none"/>
          <w:lang w:eastAsia="zh-CN"/>
        </w:rPr>
        <w:t>洛江区</w:t>
      </w:r>
      <w:r>
        <w:rPr>
          <w:rFonts w:hint="eastAsia" w:ascii="仿宋" w:hAnsi="仿宋" w:eastAsia="仿宋" w:cs="仿宋"/>
          <w:color w:val="auto"/>
          <w:sz w:val="28"/>
          <w:szCs w:val="28"/>
          <w:highlight w:val="none"/>
        </w:rPr>
        <w:t>自然资源局向省林业局上报《洛江区2020年松材线虫病防治实施方案》，2019年10月22日，根据专家审定结果，经请示省林业局，同意</w:t>
      </w:r>
      <w:r>
        <w:rPr>
          <w:rFonts w:hint="eastAsia" w:ascii="仿宋" w:hAnsi="仿宋" w:eastAsia="仿宋" w:cs="仿宋"/>
          <w:color w:val="auto"/>
          <w:sz w:val="28"/>
          <w:szCs w:val="28"/>
          <w:highlight w:val="none"/>
          <w:lang w:val="en-US" w:eastAsia="zh-CN"/>
        </w:rPr>
        <w:t>洛江区</w:t>
      </w:r>
      <w:r>
        <w:rPr>
          <w:rFonts w:hint="eastAsia" w:ascii="仿宋" w:hAnsi="仿宋" w:eastAsia="仿宋" w:cs="仿宋"/>
          <w:color w:val="auto"/>
          <w:sz w:val="28"/>
          <w:szCs w:val="28"/>
          <w:highlight w:val="none"/>
        </w:rPr>
        <w:t>2020年防治实施方案。松材线虫病疫情防治采取以清理枯死（病死、濒死）松树为核心措施，以媒介昆虫药剂防治、诱捕器诱杀等为辅助措施的综合防治策略。</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针对</w:t>
      </w:r>
      <w:r>
        <w:rPr>
          <w:rFonts w:hint="eastAsia" w:ascii="仿宋" w:hAnsi="仿宋" w:eastAsia="仿宋" w:cs="仿宋"/>
          <w:color w:val="auto"/>
          <w:sz w:val="28"/>
          <w:szCs w:val="28"/>
          <w:highlight w:val="none"/>
          <w:lang w:val="en-US" w:eastAsia="zh-CN"/>
        </w:rPr>
        <w:t>洛江区</w:t>
      </w:r>
      <w:r>
        <w:rPr>
          <w:rFonts w:hint="eastAsia" w:ascii="仿宋" w:hAnsi="仿宋" w:eastAsia="仿宋" w:cs="仿宋"/>
          <w:color w:val="auto"/>
          <w:sz w:val="28"/>
          <w:szCs w:val="28"/>
          <w:highlight w:val="none"/>
        </w:rPr>
        <w:t>21.5万亩松林全面开展松材线虫病监测，监测覆盖率100%；对罗溪镇前溪村和三村村开展除治性采伐改造，共493亩；通过挂设1070套诱捕器、喷施绿僵菌防治2800亩、噻虫啉防治2000亩，花绒寄甲防治500亩等措施综合防治松墨天牛；加强疫木采伐监管和林业检疫执法，杜绝疫木流失和松材线虫病外源性引入；全面开展枯死（病死、濒死）松树清理。</w:t>
      </w:r>
    </w:p>
    <w:p>
      <w:pPr>
        <w:ind w:firstLine="560" w:firstLineChars="200"/>
        <w:outlineLvl w:val="2"/>
        <w:rPr>
          <w:rFonts w:ascii="仿宋" w:hAnsi="仿宋" w:eastAsia="仿宋" w:cs="仿宋"/>
          <w:color w:val="auto"/>
          <w:sz w:val="28"/>
          <w:szCs w:val="28"/>
          <w:highlight w:val="none"/>
        </w:rPr>
      </w:pPr>
      <w:bookmarkStart w:id="8" w:name="_Toc89024476"/>
      <w:r>
        <w:rPr>
          <w:rFonts w:hint="eastAsia" w:ascii="仿宋" w:hAnsi="仿宋" w:eastAsia="仿宋" w:cs="仿宋"/>
          <w:color w:val="auto"/>
          <w:sz w:val="28"/>
          <w:szCs w:val="28"/>
          <w:highlight w:val="none"/>
        </w:rPr>
        <w:t>2.项目实施情况</w:t>
      </w:r>
      <w:bookmarkEnd w:id="8"/>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洛江区</w:t>
      </w:r>
      <w:r>
        <w:rPr>
          <w:rFonts w:hint="eastAsia" w:ascii="仿宋" w:hAnsi="仿宋" w:eastAsia="仿宋" w:cs="仿宋"/>
          <w:color w:val="auto"/>
          <w:sz w:val="28"/>
          <w:szCs w:val="28"/>
          <w:highlight w:val="none"/>
        </w:rPr>
        <w:t>松材线虫病发生普遍、分布广泛，松枯死木数量较多，因此根据</w:t>
      </w:r>
      <w:r>
        <w:rPr>
          <w:rFonts w:hint="eastAsia" w:ascii="仿宋" w:hAnsi="仿宋" w:eastAsia="仿宋" w:cs="仿宋"/>
          <w:color w:val="auto"/>
          <w:sz w:val="28"/>
          <w:szCs w:val="28"/>
          <w:highlight w:val="none"/>
          <w:lang w:val="en-US" w:eastAsia="zh-CN"/>
        </w:rPr>
        <w:t>洛江区</w:t>
      </w:r>
      <w:r>
        <w:rPr>
          <w:rFonts w:hint="eastAsia" w:ascii="仿宋" w:hAnsi="仿宋" w:eastAsia="仿宋" w:cs="仿宋"/>
          <w:color w:val="auto"/>
          <w:sz w:val="28"/>
          <w:szCs w:val="28"/>
          <w:highlight w:val="none"/>
        </w:rPr>
        <w:t>松材线虫病发生的实际情况进行防控类型区划。将有松材线虫病疫情分布的虹山乡、罗溪镇、马甲镇、河市镇所有松林均划为发生除治区；将双阳街道和万安街道划为重点防控区。同时以乡镇、街道为单位规划防控任务，根据各乡镇具体疫情和松枯死木分布情况，采取相应对策与措施，确保完成目标任务。</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（1）万安街道具体实施情况</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万安街道基于与泉州林农有害生物防治有限公司签订的2018-2021年松材线虫病综合防控项目服务合同，2020年对万安街道0.04万亩的松林及其他林种的散生松树采取具体措施，包括： 2020年1-3月，万安街道进行全面巡查检测，及时清理枯死松树，对枯死松树进行取样后进行除害处理。4-6月，开展春季疫情普查，发现枯死松木及时取样、鉴定、清理及除害处理。7-9月对枯死松树进行巡查及除害处理。10-12月，开展秋季疫情普查，发现枯死松木及时取样、鉴定、清理及除害处理；全面清理枯死松树及枯枝，取样后进行除害处理。</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（2）双阳街道具体实施情况</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双阳街道基于与泉州林农有害生物防治有限公司签订的2018-2021年松材线虫病综合防控项目服务合同，2020年对双阳街道0.82万亩松林及其他林散生松树采取具体措施，包括：采用森林资源小班进行每月定期巡查，将所有松枯死木取样鉴定，具体时间分布为：2020年1-3月，双阳街道进行全面巡查检测，及时清理枯死松树，对枯死松树进行取样后进行除害处理。4-6月，开展春季疫情普查，发现枯死松木及时取样、鉴定、清理及除害处理。7-9月对枯死松树进行巡查及除害处理。10-12月，开展秋季疫情普查，发现枯死松木及时取样、鉴定、清理及除害处理；全面清理枯死松树及枯枝，取样后进行除害处理。</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（3）虹山乡具体实施情况</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虹山乡基于与泉州洛江绿康有害生物防治有限责任公司签订2017-2021年松材线虫病综合防控项目协议书，2020年对虹山乡1.53万亩松林及其它林分中散生的松树采取具体措施，包括：2020年1-3月发现的枯死木（枯枝）在3月底前清理完毕，4-8月底坚持常年清理，做到“发现一株，清理一株，除害一株”，并推行GPS定位清理。所有伐除的病死树和活树均作除害处理，并在松墨天牛成虫羽化前完成。并如实填写枯死木、风折木、衰弱木、被压木等松木处理记录表。秋季普查及年底前发现的松枯死木（枯枝）在当年12月底前已经集中清理完毕。全面开展疫情监测工作，实施每月巡查，采用诱捕器的挂设、诱木的设置，捕杀松墨天牛。2020 年6月和12月分别对上半年和下半年完成情况进行验收。</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（4）罗溪镇具体实施情况</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罗溪镇基于泉州市福美林业有限公司签订泉州市洛江区2018-2021年度松材线虫病综合防控项目服务合同，2020年对罗溪镇8.9859万亩松林及其它林分中散生的松树采取具体措施，包括：2020年1-3月，全面巡查监测、及时清理松枯死树（枯枝），取样后48小时进行除害处理。4-6月开展春季疫情普查，发现枯死木及时取样、鉴定，48小时内清理及除害处理；挂设诱捕器，及时更换诱芯，设置诱木，引诱天牛在其上产卵；喷洒噻虫啉微胶囊粉剂和松墨天牛绿僵菌专化性粉剂。7-9月，对松枯死树的巡查及除害处理，继续管理诱捕器，诱杀松墨天牛成虫，对诱木进行跟踪调查及除害处理；开展秋季疫情普查，发现枯死木及时取样、鉴定，48小时内进行清理及除害处理。10-12月，全面清理松枯死树（树枝），取样后48小时进行除害处理。</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（5）马甲镇具体实施情况</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马甲镇基于</w:t>
      </w:r>
      <w:r>
        <w:rPr>
          <w:rFonts w:hint="eastAsia" w:ascii="仿宋" w:hAnsi="仿宋" w:eastAsia="仿宋" w:cs="仿宋"/>
          <w:bCs/>
          <w:color w:val="auto"/>
          <w:sz w:val="28"/>
          <w:szCs w:val="28"/>
          <w:highlight w:val="none"/>
        </w:rPr>
        <w:t>南京生兴有害生物防治技术股份有限公司</w:t>
      </w:r>
      <w:r>
        <w:rPr>
          <w:rFonts w:hint="eastAsia" w:ascii="仿宋" w:hAnsi="仿宋" w:eastAsia="仿宋" w:cs="仿宋"/>
          <w:color w:val="auto"/>
          <w:sz w:val="28"/>
          <w:szCs w:val="28"/>
          <w:highlight w:val="none"/>
        </w:rPr>
        <w:t>签订泉州市洛江区2018-2021年度松材线虫病综合防控项目服务合同，2020年对马甲镇6.6174万亩松林及其它林分中散生的松树采取具体措施，包括：2020年1-3月，全面巡查监测、及时清理松枯死树（枯枝），取样后48小时进行除害处理。4-6月开展春季疫情普查，发现枯死木及时取样、鉴定，48小时内清理及除害处理；挂设诱捕器，及时更换诱芯，设置诱木，引诱天牛在其上产卵；喷洒噻虫啉微胶囊粉剂和松墨天牛绿僵菌专化性粉剂。7-9月，对松枯死树的巡查及除害处理，继续管理诱捕器，诱杀松墨天牛成虫，对诱木进行跟踪调查及除害处理；开展秋季疫情普查，发现枯死木及时取样、鉴定，48小时内进行清理及除害处理。10-12月，全面清理松枯死树（树枝），取样后48小时进行除害处理。</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（6）河市镇具体实施情况</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河市镇基于</w:t>
      </w:r>
      <w:r>
        <w:rPr>
          <w:rFonts w:hint="eastAsia" w:ascii="仿宋" w:hAnsi="仿宋" w:eastAsia="仿宋" w:cs="仿宋"/>
          <w:bCs/>
          <w:color w:val="auto"/>
          <w:sz w:val="28"/>
          <w:szCs w:val="28"/>
          <w:highlight w:val="none"/>
        </w:rPr>
        <w:t>福建金森森林资源开发服务有限公司</w:t>
      </w:r>
      <w:r>
        <w:rPr>
          <w:rFonts w:hint="eastAsia" w:ascii="仿宋" w:hAnsi="仿宋" w:eastAsia="仿宋" w:cs="仿宋"/>
          <w:color w:val="auto"/>
          <w:sz w:val="28"/>
          <w:szCs w:val="28"/>
          <w:highlight w:val="none"/>
        </w:rPr>
        <w:t>签订泉州市洛江区2018-2021年度松材线虫病综合防控项目服务合同，2020年对河市镇5.1218万亩松林及其它林分中散生的松树采取具体措施，包括：2020年1-3月，全面巡查监测、及时清理松枯死树（枯枝），取样后48小时进行除害处理。4-6月开展春季疫情普查，发现枯死木及时取样、鉴定，48小时内清理及除害处理；挂设诱捕器，及时更换诱芯，设置诱木，引诱天牛在其上产卵；喷洒噻虫啉微胶囊粉剂和松墨天牛绿僵菌专化性粉剂。7-9月，对松枯死树的巡查及除害处理，继续管理诱捕器，诱杀松墨天牛成虫，对诱木进行跟踪调查及除害处理；开展秋季疫情普查，发现枯死木及时取样、鉴定，48小时内进行清理及除害处理。10-12月，全面清理松枯死树（树枝），取样后48小时进行除害处理。</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9" w:name="_Toc89024477"/>
      <w:r>
        <w:rPr>
          <w:rFonts w:hint="eastAsia" w:ascii="仿宋" w:hAnsi="仿宋" w:eastAsia="仿宋" w:cs="仿宋"/>
          <w:bCs w:val="0"/>
          <w:color w:val="auto"/>
          <w:sz w:val="28"/>
          <w:szCs w:val="28"/>
          <w:highlight w:val="none"/>
        </w:rPr>
        <w:t>（二）财务管理情况</w:t>
      </w:r>
      <w:bookmarkEnd w:id="9"/>
    </w:p>
    <w:p>
      <w:pPr>
        <w:pStyle w:val="12"/>
        <w:spacing w:before="0" w:beforeAutospacing="0" w:after="0" w:afterAutospacing="0"/>
        <w:ind w:firstLine="560" w:firstLineChars="200"/>
        <w:jc w:val="both"/>
        <w:rPr>
          <w:rFonts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2020年，</w:t>
      </w:r>
      <w:r>
        <w:rPr>
          <w:rFonts w:hint="eastAsia" w:ascii="仿宋" w:hAnsi="仿宋" w:eastAsia="仿宋" w:cs="仿宋"/>
          <w:color w:val="auto"/>
          <w:kern w:val="2"/>
          <w:sz w:val="28"/>
          <w:szCs w:val="28"/>
          <w:highlight w:val="none"/>
          <w:lang w:val="en-US" w:eastAsia="zh-CN"/>
        </w:rPr>
        <w:t>洛江区</w:t>
      </w:r>
      <w:r>
        <w:rPr>
          <w:rFonts w:hint="eastAsia" w:ascii="仿宋" w:hAnsi="仿宋" w:eastAsia="仿宋" w:cs="仿宋"/>
          <w:color w:val="auto"/>
          <w:kern w:val="2"/>
          <w:sz w:val="28"/>
          <w:szCs w:val="28"/>
          <w:highlight w:val="none"/>
        </w:rPr>
        <w:t>林业有害生物防治费用年初预算为543.687万元，实际下达543.687万元，其中省、市下拨105.5万元，区财政局下拨438.187万元。区财政局下拨438.187万元，实际支出436.94万元，2020年当年结余1.247万元。详见下表：</w:t>
      </w:r>
    </w:p>
    <w:p>
      <w:pPr>
        <w:pStyle w:val="12"/>
        <w:spacing w:before="0" w:beforeAutospacing="0" w:after="0" w:afterAutospacing="0"/>
        <w:jc w:val="center"/>
        <w:rPr>
          <w:rFonts w:ascii="仿宋" w:hAnsi="仿宋" w:eastAsia="仿宋" w:cs="仿宋"/>
          <w:b/>
          <w:bCs/>
          <w:color w:val="auto"/>
          <w:highlight w:val="none"/>
        </w:rPr>
      </w:pPr>
      <w:r>
        <w:rPr>
          <w:rFonts w:hint="eastAsia" w:ascii="仿宋" w:hAnsi="仿宋" w:eastAsia="仿宋" w:cs="仿宋"/>
          <w:b/>
          <w:bCs/>
          <w:color w:val="auto"/>
          <w:highlight w:val="none"/>
        </w:rPr>
        <w:t>表1 2020年度</w:t>
      </w:r>
      <w:r>
        <w:rPr>
          <w:rFonts w:hint="eastAsia" w:ascii="仿宋" w:hAnsi="仿宋" w:eastAsia="仿宋" w:cs="仿宋"/>
          <w:b/>
          <w:bCs/>
          <w:color w:val="auto"/>
          <w:highlight w:val="none"/>
          <w:lang w:val="en-US" w:eastAsia="zh-CN"/>
        </w:rPr>
        <w:t>泉州市</w:t>
      </w:r>
      <w:r>
        <w:rPr>
          <w:rFonts w:hint="eastAsia" w:ascii="仿宋" w:hAnsi="仿宋" w:eastAsia="仿宋" w:cs="仿宋"/>
          <w:b/>
          <w:bCs/>
          <w:color w:val="auto"/>
          <w:highlight w:val="none"/>
        </w:rPr>
        <w:t>洛江区松材线虫病综合防控专项资金资金使用情况表</w:t>
      </w:r>
    </w:p>
    <w:p>
      <w:pPr>
        <w:pStyle w:val="12"/>
        <w:spacing w:before="0" w:beforeAutospacing="0" w:after="0" w:afterAutospacing="0"/>
        <w:jc w:val="center"/>
        <w:rPr>
          <w:rFonts w:ascii="仿宋" w:hAnsi="仿宋" w:eastAsia="仿宋" w:cs="仿宋"/>
          <w:b/>
          <w:bCs/>
          <w:color w:val="auto"/>
          <w:highlight w:val="none"/>
        </w:rPr>
      </w:pPr>
      <w:r>
        <w:rPr>
          <w:rFonts w:hint="eastAsia" w:ascii="Times New Roman" w:hAnsi="Times New Roman" w:eastAsia="楷体_GB2312"/>
          <w:color w:val="auto"/>
          <w:sz w:val="28"/>
          <w:highlight w:val="none"/>
        </w:rPr>
        <w:t xml:space="preserve">                                   </w:t>
      </w:r>
      <w:r>
        <w:rPr>
          <w:rFonts w:hint="eastAsia" w:ascii="仿宋" w:hAnsi="仿宋" w:eastAsia="仿宋" w:cs="仿宋"/>
          <w:b/>
          <w:bCs/>
          <w:color w:val="auto"/>
          <w:highlight w:val="none"/>
        </w:rPr>
        <w:t xml:space="preserve">            单位： 万元</w:t>
      </w:r>
    </w:p>
    <w:tbl>
      <w:tblPr>
        <w:tblStyle w:val="14"/>
        <w:tblW w:w="9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200"/>
        <w:gridCol w:w="1320"/>
        <w:gridCol w:w="1363"/>
        <w:gridCol w:w="1967"/>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685" w:type="dxa"/>
            <w:shd w:val="clear" w:color="auto" w:fill="auto"/>
            <w:vAlign w:val="center"/>
          </w:tcPr>
          <w:p>
            <w:pPr>
              <w:pStyle w:val="12"/>
              <w:spacing w:before="0" w:beforeAutospacing="0" w:after="0" w:afterAutospacing="0"/>
              <w:jc w:val="center"/>
              <w:rPr>
                <w:rFonts w:ascii="仿宋" w:hAnsi="仿宋" w:eastAsia="仿宋" w:cs="仿宋"/>
                <w:b/>
                <w:bCs/>
                <w:color w:val="auto"/>
                <w:szCs w:val="22"/>
                <w:highlight w:val="none"/>
              </w:rPr>
            </w:pPr>
            <w:r>
              <w:rPr>
                <w:rFonts w:hint="eastAsia" w:ascii="仿宋" w:hAnsi="仿宋" w:eastAsia="仿宋" w:cs="仿宋"/>
                <w:b/>
                <w:bCs/>
                <w:color w:val="auto"/>
                <w:szCs w:val="22"/>
                <w:highlight w:val="none"/>
              </w:rPr>
              <w:t>资金用途</w:t>
            </w:r>
          </w:p>
        </w:tc>
        <w:tc>
          <w:tcPr>
            <w:tcW w:w="1200" w:type="dxa"/>
            <w:shd w:val="clear" w:color="auto" w:fill="auto"/>
            <w:vAlign w:val="center"/>
          </w:tcPr>
          <w:p>
            <w:pPr>
              <w:pStyle w:val="12"/>
              <w:spacing w:before="0" w:beforeAutospacing="0" w:after="0" w:afterAutospacing="0"/>
              <w:jc w:val="center"/>
              <w:rPr>
                <w:rFonts w:ascii="仿宋" w:hAnsi="仿宋" w:eastAsia="仿宋" w:cs="仿宋"/>
                <w:b/>
                <w:bCs/>
                <w:color w:val="auto"/>
                <w:szCs w:val="22"/>
                <w:highlight w:val="none"/>
              </w:rPr>
            </w:pPr>
            <w:r>
              <w:rPr>
                <w:rFonts w:hint="eastAsia" w:ascii="仿宋" w:hAnsi="仿宋" w:eastAsia="仿宋" w:cs="仿宋"/>
                <w:b/>
                <w:bCs/>
                <w:color w:val="auto"/>
                <w:szCs w:val="22"/>
                <w:highlight w:val="none"/>
              </w:rPr>
              <w:t>预算金额</w:t>
            </w:r>
          </w:p>
        </w:tc>
        <w:tc>
          <w:tcPr>
            <w:tcW w:w="1320" w:type="dxa"/>
            <w:shd w:val="clear" w:color="auto" w:fill="auto"/>
            <w:vAlign w:val="center"/>
          </w:tcPr>
          <w:p>
            <w:pPr>
              <w:pStyle w:val="12"/>
              <w:spacing w:before="0" w:beforeAutospacing="0" w:after="0" w:afterAutospacing="0"/>
              <w:jc w:val="center"/>
              <w:rPr>
                <w:rFonts w:ascii="仿宋" w:hAnsi="仿宋" w:eastAsia="仿宋" w:cs="仿宋"/>
                <w:b/>
                <w:bCs/>
                <w:color w:val="auto"/>
                <w:szCs w:val="22"/>
                <w:highlight w:val="none"/>
              </w:rPr>
            </w:pPr>
            <w:r>
              <w:rPr>
                <w:rFonts w:hint="eastAsia" w:ascii="仿宋" w:hAnsi="仿宋" w:eastAsia="仿宋" w:cs="仿宋"/>
                <w:b/>
                <w:bCs/>
                <w:color w:val="auto"/>
                <w:szCs w:val="22"/>
                <w:highlight w:val="none"/>
              </w:rPr>
              <w:t>资金下达金额</w:t>
            </w:r>
          </w:p>
        </w:tc>
        <w:tc>
          <w:tcPr>
            <w:tcW w:w="1363" w:type="dxa"/>
            <w:shd w:val="clear" w:color="auto" w:fill="auto"/>
            <w:vAlign w:val="center"/>
          </w:tcPr>
          <w:p>
            <w:pPr>
              <w:pStyle w:val="12"/>
              <w:spacing w:before="0" w:beforeAutospacing="0" w:after="0" w:afterAutospacing="0"/>
              <w:jc w:val="center"/>
              <w:rPr>
                <w:rFonts w:ascii="仿宋" w:hAnsi="仿宋" w:eastAsia="仿宋" w:cs="仿宋"/>
                <w:b/>
                <w:bCs/>
                <w:color w:val="auto"/>
                <w:szCs w:val="22"/>
                <w:highlight w:val="none"/>
              </w:rPr>
            </w:pPr>
            <w:r>
              <w:rPr>
                <w:rFonts w:hint="eastAsia" w:ascii="仿宋" w:hAnsi="仿宋" w:eastAsia="仿宋" w:cs="仿宋"/>
                <w:b/>
                <w:bCs/>
                <w:color w:val="auto"/>
                <w:szCs w:val="22"/>
                <w:highlight w:val="none"/>
              </w:rPr>
              <w:t>资金使用单位</w:t>
            </w:r>
          </w:p>
        </w:tc>
        <w:tc>
          <w:tcPr>
            <w:tcW w:w="1967" w:type="dxa"/>
            <w:shd w:val="clear" w:color="auto" w:fill="auto"/>
            <w:vAlign w:val="center"/>
          </w:tcPr>
          <w:p>
            <w:pPr>
              <w:pStyle w:val="12"/>
              <w:spacing w:before="0" w:beforeAutospacing="0" w:after="0" w:afterAutospacing="0"/>
              <w:jc w:val="center"/>
              <w:rPr>
                <w:rFonts w:ascii="仿宋" w:hAnsi="仿宋" w:eastAsia="仿宋" w:cs="仿宋"/>
                <w:b/>
                <w:bCs/>
                <w:color w:val="auto"/>
                <w:szCs w:val="22"/>
                <w:highlight w:val="none"/>
              </w:rPr>
            </w:pPr>
            <w:r>
              <w:rPr>
                <w:rFonts w:hint="eastAsia" w:ascii="仿宋" w:hAnsi="仿宋" w:eastAsia="仿宋" w:cs="仿宋"/>
                <w:b/>
                <w:bCs/>
                <w:color w:val="auto"/>
                <w:szCs w:val="22"/>
                <w:highlight w:val="none"/>
              </w:rPr>
              <w:t>资金请示或批复文号</w:t>
            </w:r>
          </w:p>
        </w:tc>
        <w:tc>
          <w:tcPr>
            <w:tcW w:w="1500" w:type="dxa"/>
            <w:shd w:val="clear" w:color="auto" w:fill="auto"/>
            <w:vAlign w:val="center"/>
          </w:tcPr>
          <w:p>
            <w:pPr>
              <w:pStyle w:val="12"/>
              <w:spacing w:before="0" w:beforeAutospacing="0" w:after="0" w:afterAutospacing="0"/>
              <w:jc w:val="center"/>
              <w:rPr>
                <w:rFonts w:ascii="仿宋" w:hAnsi="仿宋" w:eastAsia="仿宋" w:cs="仿宋"/>
                <w:b/>
                <w:bCs/>
                <w:color w:val="auto"/>
                <w:szCs w:val="22"/>
                <w:highlight w:val="none"/>
              </w:rPr>
            </w:pPr>
            <w:r>
              <w:rPr>
                <w:rFonts w:hint="eastAsia" w:ascii="仿宋" w:hAnsi="仿宋" w:eastAsia="仿宋" w:cs="仿宋"/>
                <w:b/>
                <w:bCs/>
                <w:color w:val="auto"/>
                <w:szCs w:val="22"/>
                <w:highlight w:val="none"/>
              </w:rPr>
              <w:t>资金下拨、支出金额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685" w:type="dxa"/>
            <w:shd w:val="clear" w:color="auto" w:fill="auto"/>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林业有害生物防治费</w:t>
            </w:r>
          </w:p>
        </w:tc>
        <w:tc>
          <w:tcPr>
            <w:tcW w:w="1200"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438.187</w:t>
            </w:r>
          </w:p>
        </w:tc>
        <w:tc>
          <w:tcPr>
            <w:tcW w:w="1320"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438.187</w:t>
            </w:r>
          </w:p>
        </w:tc>
        <w:tc>
          <w:tcPr>
            <w:tcW w:w="1363"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泉州市洛江区自然资源局</w:t>
            </w:r>
          </w:p>
        </w:tc>
        <w:tc>
          <w:tcPr>
            <w:tcW w:w="1967" w:type="dxa"/>
            <w:shd w:val="clear" w:color="auto" w:fill="auto"/>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泉洛资（2020）152号</w:t>
            </w:r>
          </w:p>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泉洛财指（2020）871号</w:t>
            </w:r>
          </w:p>
        </w:tc>
        <w:tc>
          <w:tcPr>
            <w:tcW w:w="1500"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436.94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5"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合计</w:t>
            </w:r>
          </w:p>
        </w:tc>
        <w:tc>
          <w:tcPr>
            <w:tcW w:w="1200"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w:t>
            </w:r>
          </w:p>
        </w:tc>
        <w:tc>
          <w:tcPr>
            <w:tcW w:w="1320"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438.187</w:t>
            </w:r>
          </w:p>
        </w:tc>
        <w:tc>
          <w:tcPr>
            <w:tcW w:w="1363"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p>
        </w:tc>
        <w:tc>
          <w:tcPr>
            <w:tcW w:w="1967"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p>
        </w:tc>
        <w:tc>
          <w:tcPr>
            <w:tcW w:w="1500" w:type="dxa"/>
            <w:shd w:val="clear" w:color="auto" w:fill="auto"/>
            <w:noWrap/>
            <w:vAlign w:val="center"/>
          </w:tcPr>
          <w:p>
            <w:pPr>
              <w:pStyle w:val="12"/>
              <w:spacing w:before="0" w:beforeAutospacing="0" w:after="0" w:afterAutospacing="0"/>
              <w:jc w:val="center"/>
              <w:rPr>
                <w:rFonts w:ascii="仿宋" w:hAnsi="仿宋" w:eastAsia="仿宋" w:cs="仿宋"/>
                <w:color w:val="auto"/>
                <w:szCs w:val="22"/>
                <w:highlight w:val="none"/>
              </w:rPr>
            </w:pPr>
            <w:r>
              <w:rPr>
                <w:rFonts w:hint="eastAsia" w:ascii="仿宋" w:hAnsi="仿宋" w:eastAsia="仿宋" w:cs="仿宋"/>
                <w:color w:val="auto"/>
                <w:szCs w:val="22"/>
                <w:highlight w:val="none"/>
              </w:rPr>
              <w:t>436.94</w:t>
            </w:r>
          </w:p>
        </w:tc>
      </w:tr>
    </w:tbl>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2020年11月27日，泉州市洛江区财政局下拨林业有害生物防治专项经费438.187万元，2020年12月至2021年4月</w:t>
      </w:r>
      <w:r>
        <w:rPr>
          <w:rFonts w:hint="eastAsia" w:ascii="仿宋" w:hAnsi="仿宋" w:eastAsia="仿宋" w:cs="仿宋"/>
          <w:color w:val="auto"/>
          <w:sz w:val="28"/>
          <w:szCs w:val="28"/>
          <w:highlight w:val="none"/>
          <w:lang w:val="en-US" w:eastAsia="zh-CN"/>
        </w:rPr>
        <w:t>洛江区自然资源局</w:t>
      </w:r>
      <w:r>
        <w:rPr>
          <w:rFonts w:hint="eastAsia" w:ascii="仿宋" w:hAnsi="仿宋" w:eastAsia="仿宋" w:cs="仿宋"/>
          <w:color w:val="auto"/>
          <w:sz w:val="28"/>
          <w:szCs w:val="28"/>
          <w:highlight w:val="none"/>
        </w:rPr>
        <w:t>按流程分批次下拨经费到各乡镇及街道，具体包括：万安街道0.62万元、双阳街道8.49万元、河市镇87.64万元、马甲镇119.56万元、罗溪镇175.80万元、虹山乡26.88万元、监理费10.69万元、其他7.26万元，结余1.247万元。2020年实际支出林业有害生物防治专项经费比原总体方案即《洛江区2017-2021年松材线虫病综合防控总体方案》修改版增加了75.25万元，具体包括：2020年新增林分改造费用49.3万元，新增诱捕器费用25.95万元。</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10" w:name="_Toc89024478"/>
      <w:r>
        <w:rPr>
          <w:rFonts w:hint="eastAsia" w:ascii="仿宋" w:hAnsi="仿宋" w:eastAsia="仿宋" w:cs="仿宋"/>
          <w:bCs w:val="0"/>
          <w:color w:val="auto"/>
          <w:sz w:val="28"/>
          <w:szCs w:val="28"/>
          <w:highlight w:val="none"/>
        </w:rPr>
        <w:t>（三）主要成效及经验</w:t>
      </w:r>
      <w:bookmarkEnd w:id="10"/>
    </w:p>
    <w:p>
      <w:pPr>
        <w:pStyle w:val="2"/>
        <w:ind w:firstLine="562" w:firstLineChars="200"/>
        <w:rPr>
          <w:rFonts w:ascii="仿宋" w:hAnsi="仿宋" w:eastAsia="仿宋" w:cs="仿宋"/>
          <w:b/>
          <w:bCs/>
          <w:color w:val="auto"/>
          <w:sz w:val="28"/>
          <w:szCs w:val="28"/>
          <w:highlight w:val="none"/>
          <w:lang w:val="en-US" w:bidi="ar-SA"/>
        </w:rPr>
      </w:pPr>
      <w:r>
        <w:rPr>
          <w:rFonts w:hint="eastAsia" w:ascii="仿宋" w:hAnsi="仿宋" w:eastAsia="仿宋" w:cs="仿宋"/>
          <w:b/>
          <w:bCs/>
          <w:color w:val="auto"/>
          <w:sz w:val="28"/>
          <w:szCs w:val="28"/>
          <w:highlight w:val="none"/>
          <w:lang w:val="en-US" w:bidi="ar-SA"/>
        </w:rPr>
        <w:t>1.主要成效</w:t>
      </w:r>
    </w:p>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sz w:val="28"/>
          <w:szCs w:val="28"/>
          <w:highlight w:val="none"/>
        </w:rPr>
        <w:t>2020年</w:t>
      </w:r>
      <w:r>
        <w:rPr>
          <w:rFonts w:hint="eastAsia" w:ascii="仿宋" w:hAnsi="仿宋" w:eastAsia="仿宋" w:cs="仿宋"/>
          <w:color w:val="auto"/>
          <w:sz w:val="28"/>
          <w:szCs w:val="28"/>
          <w:highlight w:val="none"/>
          <w:lang w:val="en-US" w:eastAsia="zh-CN"/>
        </w:rPr>
        <w:t>洛江区</w:t>
      </w:r>
      <w:r>
        <w:rPr>
          <w:rFonts w:hint="eastAsia" w:ascii="仿宋" w:hAnsi="仿宋" w:eastAsia="仿宋" w:cs="仿宋"/>
          <w:color w:val="auto"/>
          <w:sz w:val="28"/>
          <w:szCs w:val="28"/>
          <w:highlight w:val="none"/>
        </w:rPr>
        <w:t>清理各类松枯死</w:t>
      </w:r>
      <w:r>
        <w:rPr>
          <w:rFonts w:hint="eastAsia" w:ascii="仿宋" w:hAnsi="仿宋" w:eastAsia="仿宋" w:cs="仿宋"/>
          <w:color w:val="auto"/>
          <w:kern w:val="0"/>
          <w:sz w:val="28"/>
          <w:szCs w:val="28"/>
          <w:highlight w:val="none"/>
        </w:rPr>
        <w:t>木共12671株，分布面积66947亩，松材线虫病发生面积1626.8亩，其中罗溪镇222.2亩、马甲镇479亩、河市镇179亩。2020年共消除松材线虫病发生面积493亩，2020年疫情发生乡镇为罗溪镇、河市镇、马甲镇3个比2019年减少1个虹山乡。2020年共释放绿僵菌粉剂700kg、施放花绒寄甲50万只、噻虫啉2005kg，分别防治松墨天牛发生面积2800亩、500亩、2000亩，完成率100%；共挂设诱捕器970套，设置诱木970株，诱杀松墨天牛56684只，完成率100%。</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各乡镇具体情况如下表：</w:t>
      </w:r>
    </w:p>
    <w:p>
      <w:pPr>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   2020年各乡镇（街道）</w:t>
      </w:r>
      <w:r>
        <w:rPr>
          <w:rFonts w:hint="eastAsia" w:ascii="仿宋" w:hAnsi="仿宋" w:eastAsia="仿宋" w:cs="仿宋"/>
          <w:b/>
          <w:bCs/>
          <w:color w:val="auto"/>
          <w:sz w:val="24"/>
          <w:szCs w:val="24"/>
          <w:highlight w:val="none"/>
        </w:rPr>
        <w:t>松枯死木清理及除害情况表</w:t>
      </w:r>
    </w:p>
    <w:tbl>
      <w:tblPr>
        <w:tblStyle w:val="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993"/>
        <w:gridCol w:w="1275"/>
        <w:gridCol w:w="709"/>
        <w:gridCol w:w="1276"/>
        <w:gridCol w:w="1417"/>
        <w:gridCol w:w="1701"/>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1242" w:type="dxa"/>
          </w:tcPr>
          <w:p>
            <w:pPr>
              <w:spacing w:line="440" w:lineRule="exac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乡镇、街道</w:t>
            </w:r>
          </w:p>
        </w:tc>
        <w:tc>
          <w:tcPr>
            <w:tcW w:w="993" w:type="dxa"/>
          </w:tcPr>
          <w:p>
            <w:pPr>
              <w:spacing w:line="440" w:lineRule="exac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松枯死</w:t>
            </w:r>
          </w:p>
          <w:p>
            <w:pPr>
              <w:spacing w:line="440" w:lineRule="exac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木数量</w:t>
            </w:r>
          </w:p>
          <w:p>
            <w:pPr>
              <w:pStyle w:val="2"/>
              <w:rPr>
                <w:rFonts w:ascii="仿宋" w:hAnsi="仿宋" w:eastAsia="仿宋" w:cs="仿宋"/>
                <w:bCs/>
                <w:color w:val="auto"/>
                <w:sz w:val="24"/>
                <w:szCs w:val="24"/>
                <w:highlight w:val="none"/>
                <w:lang w:val="en-US" w:bidi="ar-SA"/>
              </w:rPr>
            </w:pPr>
            <w:r>
              <w:rPr>
                <w:rFonts w:hint="eastAsia" w:ascii="仿宋" w:hAnsi="仿宋" w:eastAsia="仿宋" w:cs="仿宋"/>
                <w:bCs/>
                <w:color w:val="auto"/>
                <w:sz w:val="24"/>
                <w:szCs w:val="24"/>
                <w:highlight w:val="none"/>
                <w:lang w:val="en-US" w:bidi="ar-SA"/>
              </w:rPr>
              <w:t>（株）</w:t>
            </w:r>
          </w:p>
        </w:tc>
        <w:tc>
          <w:tcPr>
            <w:tcW w:w="1275" w:type="dxa"/>
          </w:tcPr>
          <w:p>
            <w:pPr>
              <w:spacing w:line="440" w:lineRule="exact"/>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松枯死木除害完成情况</w:t>
            </w:r>
          </w:p>
        </w:tc>
        <w:tc>
          <w:tcPr>
            <w:tcW w:w="709"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熏蒸</w:t>
            </w:r>
          </w:p>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效果</w:t>
            </w:r>
          </w:p>
        </w:tc>
        <w:tc>
          <w:tcPr>
            <w:tcW w:w="1276"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木段内的松墨天牛幼虫</w:t>
            </w:r>
          </w:p>
        </w:tc>
        <w:tc>
          <w:tcPr>
            <w:tcW w:w="1417" w:type="dxa"/>
          </w:tcPr>
          <w:p>
            <w:pPr>
              <w:spacing w:line="440" w:lineRule="exact"/>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松枯死木清理合格情况</w:t>
            </w:r>
          </w:p>
        </w:tc>
        <w:tc>
          <w:tcPr>
            <w:tcW w:w="1701"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存在问题</w:t>
            </w:r>
          </w:p>
        </w:tc>
        <w:tc>
          <w:tcPr>
            <w:tcW w:w="993"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是否整</w:t>
            </w:r>
          </w:p>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改合格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万安街道</w:t>
            </w:r>
          </w:p>
        </w:tc>
        <w:tc>
          <w:tcPr>
            <w:tcW w:w="993"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275"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全部完成</w:t>
            </w:r>
          </w:p>
        </w:tc>
        <w:tc>
          <w:tcPr>
            <w:tcW w:w="709"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276"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全部死亡</w:t>
            </w:r>
          </w:p>
        </w:tc>
        <w:tc>
          <w:tcPr>
            <w:tcW w:w="1417"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基本合格</w:t>
            </w:r>
          </w:p>
        </w:tc>
        <w:tc>
          <w:tcPr>
            <w:tcW w:w="1701"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枝条清理不合格、伐桩高度偏高、伐桩剥皮质量不合格</w:t>
            </w:r>
          </w:p>
        </w:tc>
        <w:tc>
          <w:tcPr>
            <w:tcW w:w="993" w:type="dxa"/>
          </w:tcPr>
          <w:p>
            <w:pPr>
              <w:spacing w:line="440" w:lineRule="exact"/>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双阳街道</w:t>
            </w:r>
          </w:p>
        </w:tc>
        <w:tc>
          <w:tcPr>
            <w:tcW w:w="993"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99</w:t>
            </w:r>
          </w:p>
        </w:tc>
        <w:tc>
          <w:tcPr>
            <w:tcW w:w="1275"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全部完成</w:t>
            </w:r>
          </w:p>
        </w:tc>
        <w:tc>
          <w:tcPr>
            <w:tcW w:w="709"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276"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全部死亡</w:t>
            </w:r>
          </w:p>
        </w:tc>
        <w:tc>
          <w:tcPr>
            <w:tcW w:w="1417"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基本合格</w:t>
            </w:r>
          </w:p>
        </w:tc>
        <w:tc>
          <w:tcPr>
            <w:tcW w:w="1701"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枝条清理不合格、伐桩高度偏高、伐桩剥皮质量不合格</w:t>
            </w:r>
          </w:p>
        </w:tc>
        <w:tc>
          <w:tcPr>
            <w:tcW w:w="993" w:type="dxa"/>
          </w:tcPr>
          <w:p>
            <w:pPr>
              <w:rPr>
                <w:color w:val="auto"/>
                <w:sz w:val="24"/>
                <w:szCs w:val="24"/>
                <w:highlight w:val="none"/>
              </w:rPr>
            </w:pPr>
            <w:r>
              <w:rPr>
                <w:rFonts w:ascii="仿宋" w:hAnsi="仿宋" w:eastAsia="仿宋" w:cs="仿宋"/>
                <w:bCs/>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虹山乡</w:t>
            </w:r>
          </w:p>
        </w:tc>
        <w:tc>
          <w:tcPr>
            <w:tcW w:w="993"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613</w:t>
            </w:r>
          </w:p>
        </w:tc>
        <w:tc>
          <w:tcPr>
            <w:tcW w:w="1275"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全部完成</w:t>
            </w:r>
          </w:p>
        </w:tc>
        <w:tc>
          <w:tcPr>
            <w:tcW w:w="709"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276"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全部死亡</w:t>
            </w:r>
          </w:p>
        </w:tc>
        <w:tc>
          <w:tcPr>
            <w:tcW w:w="1417"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基本合格</w:t>
            </w:r>
          </w:p>
        </w:tc>
        <w:tc>
          <w:tcPr>
            <w:tcW w:w="1701"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枝条清理不合格、伐桩高度偏高、伐桩剥皮质量不合格</w:t>
            </w:r>
          </w:p>
        </w:tc>
        <w:tc>
          <w:tcPr>
            <w:tcW w:w="993" w:type="dxa"/>
          </w:tcPr>
          <w:p>
            <w:pPr>
              <w:rPr>
                <w:color w:val="auto"/>
                <w:sz w:val="24"/>
                <w:szCs w:val="24"/>
                <w:highlight w:val="none"/>
              </w:rPr>
            </w:pPr>
            <w:r>
              <w:rPr>
                <w:rFonts w:ascii="仿宋" w:hAnsi="仿宋" w:eastAsia="仿宋" w:cs="仿宋"/>
                <w:bCs/>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罗溪镇</w:t>
            </w:r>
          </w:p>
        </w:tc>
        <w:tc>
          <w:tcPr>
            <w:tcW w:w="993"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4919</w:t>
            </w:r>
          </w:p>
        </w:tc>
        <w:tc>
          <w:tcPr>
            <w:tcW w:w="1275"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全部完成</w:t>
            </w:r>
          </w:p>
        </w:tc>
        <w:tc>
          <w:tcPr>
            <w:tcW w:w="709"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276"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全部死亡</w:t>
            </w:r>
          </w:p>
        </w:tc>
        <w:tc>
          <w:tcPr>
            <w:tcW w:w="1417"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基本合格</w:t>
            </w:r>
          </w:p>
        </w:tc>
        <w:tc>
          <w:tcPr>
            <w:tcW w:w="1701"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枝条清理不合格、伐桩高度偏高、伐桩剥皮质量不合格</w:t>
            </w:r>
          </w:p>
        </w:tc>
        <w:tc>
          <w:tcPr>
            <w:tcW w:w="993" w:type="dxa"/>
          </w:tcPr>
          <w:p>
            <w:pPr>
              <w:rPr>
                <w:color w:val="auto"/>
                <w:sz w:val="24"/>
                <w:szCs w:val="24"/>
                <w:highlight w:val="none"/>
              </w:rPr>
            </w:pPr>
            <w:r>
              <w:rPr>
                <w:rFonts w:ascii="仿宋" w:hAnsi="仿宋" w:eastAsia="仿宋" w:cs="仿宋"/>
                <w:bCs/>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马甲镇</w:t>
            </w:r>
          </w:p>
        </w:tc>
        <w:tc>
          <w:tcPr>
            <w:tcW w:w="993"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5438</w:t>
            </w:r>
          </w:p>
        </w:tc>
        <w:tc>
          <w:tcPr>
            <w:tcW w:w="1275"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全部完成</w:t>
            </w:r>
          </w:p>
        </w:tc>
        <w:tc>
          <w:tcPr>
            <w:tcW w:w="709"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276"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全部死亡</w:t>
            </w:r>
          </w:p>
        </w:tc>
        <w:tc>
          <w:tcPr>
            <w:tcW w:w="1417"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基本合格</w:t>
            </w:r>
          </w:p>
        </w:tc>
        <w:tc>
          <w:tcPr>
            <w:tcW w:w="1701"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枝条清理不合格、伐桩高度偏高、伐桩剥皮质量不合格</w:t>
            </w:r>
          </w:p>
        </w:tc>
        <w:tc>
          <w:tcPr>
            <w:tcW w:w="993" w:type="dxa"/>
          </w:tcPr>
          <w:p>
            <w:pPr>
              <w:rPr>
                <w:color w:val="auto"/>
                <w:sz w:val="24"/>
                <w:szCs w:val="24"/>
                <w:highlight w:val="none"/>
              </w:rPr>
            </w:pPr>
            <w:r>
              <w:rPr>
                <w:rFonts w:ascii="仿宋" w:hAnsi="仿宋" w:eastAsia="仿宋" w:cs="仿宋"/>
                <w:bCs/>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河市镇</w:t>
            </w:r>
          </w:p>
        </w:tc>
        <w:tc>
          <w:tcPr>
            <w:tcW w:w="993"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1590</w:t>
            </w:r>
          </w:p>
        </w:tc>
        <w:tc>
          <w:tcPr>
            <w:tcW w:w="1275"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全部完成</w:t>
            </w:r>
          </w:p>
        </w:tc>
        <w:tc>
          <w:tcPr>
            <w:tcW w:w="709"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276"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全部死亡</w:t>
            </w:r>
          </w:p>
        </w:tc>
        <w:tc>
          <w:tcPr>
            <w:tcW w:w="1417"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基本合格</w:t>
            </w:r>
          </w:p>
        </w:tc>
        <w:tc>
          <w:tcPr>
            <w:tcW w:w="1701" w:type="dxa"/>
          </w:tcPr>
          <w:p>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枝条清理不合格、伐桩高度偏高、伐桩剥皮质量不合格</w:t>
            </w:r>
          </w:p>
        </w:tc>
        <w:tc>
          <w:tcPr>
            <w:tcW w:w="993" w:type="dxa"/>
          </w:tcPr>
          <w:p>
            <w:pPr>
              <w:rPr>
                <w:color w:val="auto"/>
                <w:sz w:val="24"/>
                <w:szCs w:val="24"/>
                <w:highlight w:val="none"/>
              </w:rPr>
            </w:pPr>
            <w:r>
              <w:rPr>
                <w:rFonts w:ascii="仿宋" w:hAnsi="仿宋" w:eastAsia="仿宋" w:cs="仿宋"/>
                <w:bCs/>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44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合计</w:t>
            </w:r>
          </w:p>
        </w:tc>
        <w:tc>
          <w:tcPr>
            <w:tcW w:w="993" w:type="dxa"/>
          </w:tcPr>
          <w:p>
            <w:pPr>
              <w:spacing w:line="44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12671</w:t>
            </w:r>
          </w:p>
        </w:tc>
        <w:tc>
          <w:tcPr>
            <w:tcW w:w="1275" w:type="dxa"/>
          </w:tcPr>
          <w:p>
            <w:pPr>
              <w:spacing w:line="44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709" w:type="dxa"/>
          </w:tcPr>
          <w:p>
            <w:pPr>
              <w:spacing w:line="44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100%</w:t>
            </w:r>
          </w:p>
        </w:tc>
        <w:tc>
          <w:tcPr>
            <w:tcW w:w="1276" w:type="dxa"/>
          </w:tcPr>
          <w:p>
            <w:pPr>
              <w:spacing w:line="44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1417" w:type="dxa"/>
          </w:tcPr>
          <w:p>
            <w:pPr>
              <w:spacing w:line="44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1701" w:type="dxa"/>
          </w:tcPr>
          <w:p>
            <w:pPr>
              <w:spacing w:line="44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993" w:type="dxa"/>
          </w:tcPr>
          <w:p>
            <w:pP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r>
    </w:tbl>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以上六个乡镇（街道）验收中发现的枝条清理不合格、伐桩高度偏高、伐桩剥皮质量不合格等问题，监理方现场督促施工单位进行整改，已完成了整改工作。塑料薄膜、磷化铝等施工材料的数量、经费等符合施工方案的要求。</w:t>
      </w:r>
    </w:p>
    <w:p>
      <w:pPr>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表3   2020松墨天牛防治情况表</w:t>
      </w:r>
    </w:p>
    <w:tbl>
      <w:tblPr>
        <w:tblStyle w:val="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034"/>
        <w:gridCol w:w="992"/>
        <w:gridCol w:w="1049"/>
        <w:gridCol w:w="1786"/>
        <w:gridCol w:w="1276"/>
        <w:gridCol w:w="141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乡镇、街道</w:t>
            </w:r>
          </w:p>
        </w:tc>
        <w:tc>
          <w:tcPr>
            <w:tcW w:w="1034"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诱捕器数量（套）</w:t>
            </w:r>
          </w:p>
        </w:tc>
        <w:tc>
          <w:tcPr>
            <w:tcW w:w="992"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诱捕器</w:t>
            </w:r>
          </w:p>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合格率</w:t>
            </w:r>
          </w:p>
        </w:tc>
        <w:tc>
          <w:tcPr>
            <w:tcW w:w="1049"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诱木数量（处）</w:t>
            </w:r>
          </w:p>
        </w:tc>
        <w:tc>
          <w:tcPr>
            <w:tcW w:w="178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释放粉剂或天敌数量及面积</w:t>
            </w:r>
          </w:p>
        </w:tc>
        <w:tc>
          <w:tcPr>
            <w:tcW w:w="127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诱杀松墨天牛数量（只）</w:t>
            </w:r>
          </w:p>
        </w:tc>
        <w:tc>
          <w:tcPr>
            <w:tcW w:w="1417" w:type="dxa"/>
          </w:tcPr>
          <w:p>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存在问题</w:t>
            </w:r>
          </w:p>
        </w:tc>
        <w:tc>
          <w:tcPr>
            <w:tcW w:w="993" w:type="dxa"/>
          </w:tcPr>
          <w:p>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是否整</w:t>
            </w:r>
          </w:p>
          <w:p>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改合格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pacing w:line="40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虹山乡</w:t>
            </w:r>
          </w:p>
        </w:tc>
        <w:tc>
          <w:tcPr>
            <w:tcW w:w="1034"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70</w:t>
            </w:r>
          </w:p>
        </w:tc>
        <w:tc>
          <w:tcPr>
            <w:tcW w:w="992"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95.7%</w:t>
            </w:r>
          </w:p>
        </w:tc>
        <w:tc>
          <w:tcPr>
            <w:tcW w:w="1049"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70</w:t>
            </w:r>
          </w:p>
        </w:tc>
        <w:tc>
          <w:tcPr>
            <w:tcW w:w="178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w:t>
            </w:r>
          </w:p>
        </w:tc>
        <w:tc>
          <w:tcPr>
            <w:tcW w:w="127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4689</w:t>
            </w:r>
          </w:p>
        </w:tc>
        <w:tc>
          <w:tcPr>
            <w:tcW w:w="1417"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部分诱捕器挂设不够合理</w:t>
            </w:r>
          </w:p>
        </w:tc>
        <w:tc>
          <w:tcPr>
            <w:tcW w:w="993"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pacing w:line="40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罗溪镇</w:t>
            </w:r>
          </w:p>
        </w:tc>
        <w:tc>
          <w:tcPr>
            <w:tcW w:w="1034"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200</w:t>
            </w:r>
          </w:p>
        </w:tc>
        <w:tc>
          <w:tcPr>
            <w:tcW w:w="992"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94.5%</w:t>
            </w:r>
          </w:p>
        </w:tc>
        <w:tc>
          <w:tcPr>
            <w:tcW w:w="1049"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200</w:t>
            </w:r>
          </w:p>
        </w:tc>
        <w:tc>
          <w:tcPr>
            <w:tcW w:w="178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释放绿僵菌粉剂102kg，面积408亩</w:t>
            </w:r>
          </w:p>
        </w:tc>
        <w:tc>
          <w:tcPr>
            <w:tcW w:w="127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10262</w:t>
            </w:r>
          </w:p>
        </w:tc>
        <w:tc>
          <w:tcPr>
            <w:tcW w:w="1417"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部分诱捕器挂设不够合理</w:t>
            </w:r>
          </w:p>
        </w:tc>
        <w:tc>
          <w:tcPr>
            <w:tcW w:w="993" w:type="dxa"/>
          </w:tcPr>
          <w:p>
            <w:pPr>
              <w:spacing w:line="400" w:lineRule="exact"/>
              <w:rPr>
                <w:color w:val="auto"/>
                <w:sz w:val="24"/>
                <w:szCs w:val="24"/>
                <w:highlight w:val="none"/>
              </w:rPr>
            </w:pPr>
            <w:r>
              <w:rPr>
                <w:rFonts w:hint="eastAsia" w:ascii="仿宋" w:hAnsi="仿宋" w:eastAsia="仿宋" w:cs="仿宋"/>
                <w:color w:val="auto"/>
                <w:kern w:val="0"/>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pacing w:line="40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马甲镇</w:t>
            </w:r>
          </w:p>
        </w:tc>
        <w:tc>
          <w:tcPr>
            <w:tcW w:w="1034"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300</w:t>
            </w:r>
          </w:p>
        </w:tc>
        <w:tc>
          <w:tcPr>
            <w:tcW w:w="992"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95%</w:t>
            </w:r>
          </w:p>
        </w:tc>
        <w:tc>
          <w:tcPr>
            <w:tcW w:w="1049"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300</w:t>
            </w:r>
          </w:p>
        </w:tc>
        <w:tc>
          <w:tcPr>
            <w:tcW w:w="178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释放绿僵菌粉剂402.25kg，面积1609亩；喷洒噻虫啉1000kg，面积995亩；施放花绒寄甲50万头，面积500亩</w:t>
            </w:r>
          </w:p>
        </w:tc>
        <w:tc>
          <w:tcPr>
            <w:tcW w:w="127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24937</w:t>
            </w:r>
          </w:p>
        </w:tc>
        <w:tc>
          <w:tcPr>
            <w:tcW w:w="1417" w:type="dxa"/>
          </w:tcPr>
          <w:p>
            <w:pPr>
              <w:spacing w:line="400" w:lineRule="exact"/>
              <w:rPr>
                <w:color w:val="auto"/>
                <w:sz w:val="24"/>
                <w:szCs w:val="24"/>
                <w:highlight w:val="none"/>
              </w:rPr>
            </w:pPr>
            <w:r>
              <w:rPr>
                <w:rFonts w:hint="eastAsia" w:ascii="仿宋" w:hAnsi="仿宋" w:eastAsia="仿宋" w:cs="仿宋"/>
                <w:color w:val="auto"/>
                <w:kern w:val="0"/>
                <w:sz w:val="24"/>
                <w:szCs w:val="24"/>
                <w:highlight w:val="none"/>
              </w:rPr>
              <w:t>部分诱捕器挂设不够合理</w:t>
            </w:r>
          </w:p>
        </w:tc>
        <w:tc>
          <w:tcPr>
            <w:tcW w:w="993" w:type="dxa"/>
          </w:tcPr>
          <w:p>
            <w:pPr>
              <w:spacing w:line="400" w:lineRule="exact"/>
              <w:rPr>
                <w:color w:val="auto"/>
                <w:sz w:val="24"/>
                <w:szCs w:val="24"/>
                <w:highlight w:val="none"/>
              </w:rPr>
            </w:pPr>
            <w:r>
              <w:rPr>
                <w:rFonts w:hint="eastAsia" w:ascii="仿宋" w:hAnsi="仿宋" w:eastAsia="仿宋" w:cs="仿宋"/>
                <w:color w:val="auto"/>
                <w:kern w:val="0"/>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pacing w:line="400" w:lineRule="exac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河市镇</w:t>
            </w:r>
          </w:p>
        </w:tc>
        <w:tc>
          <w:tcPr>
            <w:tcW w:w="1034"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400</w:t>
            </w:r>
          </w:p>
        </w:tc>
        <w:tc>
          <w:tcPr>
            <w:tcW w:w="992"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95.8%</w:t>
            </w:r>
          </w:p>
        </w:tc>
        <w:tc>
          <w:tcPr>
            <w:tcW w:w="1049"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400</w:t>
            </w:r>
          </w:p>
        </w:tc>
        <w:tc>
          <w:tcPr>
            <w:tcW w:w="178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释放绿僵菌粉剂195.75kg，面积783亩；喷洒噻虫啉1005kg，面积1005亩</w:t>
            </w:r>
          </w:p>
        </w:tc>
        <w:tc>
          <w:tcPr>
            <w:tcW w:w="127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16796</w:t>
            </w:r>
          </w:p>
        </w:tc>
        <w:tc>
          <w:tcPr>
            <w:tcW w:w="1417" w:type="dxa"/>
          </w:tcPr>
          <w:p>
            <w:pPr>
              <w:spacing w:line="400" w:lineRule="exact"/>
              <w:rPr>
                <w:color w:val="auto"/>
                <w:sz w:val="24"/>
                <w:szCs w:val="24"/>
                <w:highlight w:val="none"/>
              </w:rPr>
            </w:pPr>
            <w:r>
              <w:rPr>
                <w:rFonts w:hint="eastAsia" w:ascii="仿宋" w:hAnsi="仿宋" w:eastAsia="仿宋" w:cs="仿宋"/>
                <w:color w:val="auto"/>
                <w:kern w:val="0"/>
                <w:sz w:val="24"/>
                <w:szCs w:val="24"/>
                <w:highlight w:val="none"/>
              </w:rPr>
              <w:t>部分诱捕器挂设不够合理</w:t>
            </w:r>
          </w:p>
        </w:tc>
        <w:tc>
          <w:tcPr>
            <w:tcW w:w="993" w:type="dxa"/>
          </w:tcPr>
          <w:p>
            <w:pPr>
              <w:spacing w:line="400" w:lineRule="exact"/>
              <w:rPr>
                <w:color w:val="auto"/>
                <w:sz w:val="24"/>
                <w:szCs w:val="24"/>
                <w:highlight w:val="none"/>
              </w:rPr>
            </w:pPr>
            <w:r>
              <w:rPr>
                <w:rFonts w:hint="eastAsia" w:ascii="仿宋" w:hAnsi="仿宋" w:eastAsia="仿宋" w:cs="仿宋"/>
                <w:color w:val="auto"/>
                <w:kern w:val="0"/>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合计</w:t>
            </w:r>
          </w:p>
        </w:tc>
        <w:tc>
          <w:tcPr>
            <w:tcW w:w="1034"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970</w:t>
            </w:r>
          </w:p>
        </w:tc>
        <w:tc>
          <w:tcPr>
            <w:tcW w:w="992"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1049"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970</w:t>
            </w:r>
          </w:p>
        </w:tc>
        <w:tc>
          <w:tcPr>
            <w:tcW w:w="178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1276"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56684</w:t>
            </w:r>
          </w:p>
        </w:tc>
        <w:tc>
          <w:tcPr>
            <w:tcW w:w="1417"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993" w:type="dxa"/>
          </w:tcPr>
          <w:p>
            <w:pPr>
              <w:spacing w:line="4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r>
    </w:tbl>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以上六个乡镇（街道）六个验收中发现的部分诱捕器挂设不够合理监理方现场督促施工单位进行整改，已完成了整改工作。其他施工材料的数量、经费与方案要求基本相符。</w:t>
      </w:r>
    </w:p>
    <w:p>
      <w:pPr>
        <w:pStyle w:val="2"/>
        <w:ind w:firstLine="562" w:firstLineChars="200"/>
        <w:rPr>
          <w:rFonts w:ascii="仿宋" w:hAnsi="仿宋" w:eastAsia="仿宋" w:cs="仿宋"/>
          <w:b/>
          <w:bCs/>
          <w:color w:val="auto"/>
          <w:sz w:val="28"/>
          <w:szCs w:val="28"/>
          <w:highlight w:val="none"/>
          <w:lang w:val="en-US" w:bidi="ar-SA"/>
        </w:rPr>
      </w:pPr>
      <w:r>
        <w:rPr>
          <w:rFonts w:hint="eastAsia" w:ascii="仿宋" w:hAnsi="仿宋" w:eastAsia="仿宋" w:cs="仿宋"/>
          <w:b/>
          <w:bCs/>
          <w:color w:val="auto"/>
          <w:sz w:val="28"/>
          <w:szCs w:val="28"/>
          <w:highlight w:val="none"/>
          <w:lang w:val="en-US" w:bidi="ar-SA"/>
        </w:rPr>
        <w:t>2.主要经验</w:t>
      </w:r>
    </w:p>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洛江区自然资源局</w:t>
      </w:r>
      <w:r>
        <w:rPr>
          <w:rFonts w:hint="eastAsia" w:ascii="仿宋" w:hAnsi="仿宋" w:eastAsia="仿宋" w:cs="仿宋"/>
          <w:color w:val="auto"/>
          <w:kern w:val="0"/>
          <w:sz w:val="28"/>
          <w:szCs w:val="28"/>
          <w:highlight w:val="none"/>
        </w:rPr>
        <w:t>松材线虫病防控工作严格按照省、市下达的防控目标任务，积极采取有效措施，加大资金投入，开展绩效承包，落实松材线虫病防控主体责任，全力推进防治工作，较好地完成了2020年度防控目标任务。</w:t>
      </w:r>
    </w:p>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（1）明确目标任务，将目标责任落实。明确2020年省市下达到</w:t>
      </w:r>
      <w:r>
        <w:rPr>
          <w:rFonts w:hint="eastAsia" w:ascii="仿宋" w:hAnsi="仿宋" w:eastAsia="仿宋" w:cs="仿宋"/>
          <w:color w:val="auto"/>
          <w:kern w:val="0"/>
          <w:sz w:val="28"/>
          <w:szCs w:val="28"/>
          <w:highlight w:val="none"/>
          <w:lang w:val="en-US" w:eastAsia="zh-CN"/>
        </w:rPr>
        <w:t>洛江区</w:t>
      </w:r>
      <w:r>
        <w:rPr>
          <w:rFonts w:hint="eastAsia" w:ascii="仿宋" w:hAnsi="仿宋" w:eastAsia="仿宋" w:cs="仿宋"/>
          <w:color w:val="auto"/>
          <w:kern w:val="0"/>
          <w:sz w:val="28"/>
          <w:szCs w:val="28"/>
          <w:highlight w:val="none"/>
        </w:rPr>
        <w:t>的目标任务，根据2019年秋季普查情况，将目标责任分别落实到6个乡镇和街道，层层分解，落实好乡镇（街道）、场和村（居）两委、除治施工队、现场监管人员、疫木清理队伍的责任及明确责任人。</w:t>
      </w:r>
    </w:p>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（2）科学制定方案。根据松枯死木分布范围和疫情发生实际,科学制定《洛江区 2020 年松材线虫病防治实施方案》，合理选择防治措施,严格疫木除害处理。进一步细化工作任务，明确各相关责任单位职责，为实现年度防控目标打好基础，并通过省森检局审定后印发实施。</w:t>
      </w:r>
    </w:p>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（3）认真执行防治方案。</w:t>
      </w:r>
      <w:r>
        <w:rPr>
          <w:rFonts w:hint="eastAsia" w:ascii="仿宋" w:hAnsi="仿宋" w:eastAsia="仿宋" w:cs="仿宋"/>
          <w:color w:val="auto"/>
          <w:kern w:val="0"/>
          <w:sz w:val="28"/>
          <w:szCs w:val="28"/>
          <w:highlight w:val="none"/>
          <w:lang w:val="en-US" w:eastAsia="zh-CN"/>
        </w:rPr>
        <w:t>洛江区自然资源局</w:t>
      </w:r>
      <w:r>
        <w:rPr>
          <w:rFonts w:hint="eastAsia" w:ascii="仿宋" w:hAnsi="仿宋" w:eastAsia="仿宋" w:cs="仿宋"/>
          <w:color w:val="auto"/>
          <w:kern w:val="0"/>
          <w:sz w:val="28"/>
          <w:szCs w:val="28"/>
          <w:highlight w:val="none"/>
        </w:rPr>
        <w:t>认真执行《洛江区2020年松材线虫病防治实施方案》，具体包括：加强疫情监测，确保监测全覆盖；完成松枯死树除治、松墨天牛防治、松材线虫病发生区林分改造等工作；强化疫木监督管理；开展专项检疫检查，确保2020完成目标任务。</w:t>
      </w:r>
    </w:p>
    <w:p>
      <w:pPr>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（4）及时抓好整改，促进防治成效。根据泉州市重大动植物疫情防治指挥部林业办公室检查组于2020年5月22日对洛江区2020年松材线虫病春季防治工作察访核验发现的主要问题及整改要求，</w:t>
      </w:r>
      <w:r>
        <w:rPr>
          <w:rFonts w:hint="eastAsia" w:ascii="仿宋" w:hAnsi="仿宋" w:eastAsia="仿宋" w:cs="仿宋"/>
          <w:color w:val="auto"/>
          <w:kern w:val="0"/>
          <w:sz w:val="28"/>
          <w:szCs w:val="28"/>
          <w:highlight w:val="none"/>
          <w:lang w:val="en-US" w:eastAsia="zh-CN"/>
        </w:rPr>
        <w:t>洛江区自然资源局</w:t>
      </w:r>
      <w:r>
        <w:rPr>
          <w:rFonts w:hint="eastAsia" w:ascii="仿宋" w:hAnsi="仿宋" w:eastAsia="仿宋" w:cs="仿宋"/>
          <w:color w:val="auto"/>
          <w:kern w:val="0"/>
          <w:sz w:val="28"/>
          <w:szCs w:val="28"/>
          <w:highlight w:val="none"/>
        </w:rPr>
        <w:t>高度重视，成立洛江区松材线虫病等林业有害生物防控工作整改工作小组，认真排查洛江区松材线虫病防控工作中存在的问题，并抓好整改落实。</w:t>
      </w:r>
    </w:p>
    <w:p>
      <w:pPr>
        <w:pStyle w:val="2"/>
        <w:ind w:firstLine="640" w:firstLineChars="200"/>
        <w:rPr>
          <w:color w:val="auto"/>
          <w:highlight w:val="none"/>
          <w:lang w:val="en-US" w:bidi="ar-SA"/>
        </w:rPr>
      </w:pPr>
    </w:p>
    <w:p>
      <w:pPr>
        <w:ind w:firstLine="562" w:firstLineChars="200"/>
        <w:outlineLvl w:val="0"/>
        <w:rPr>
          <w:rFonts w:ascii="仿宋" w:hAnsi="仿宋" w:eastAsia="仿宋" w:cs="仿宋"/>
          <w:b/>
          <w:color w:val="auto"/>
          <w:sz w:val="28"/>
          <w:szCs w:val="28"/>
          <w:highlight w:val="none"/>
        </w:rPr>
      </w:pPr>
      <w:bookmarkStart w:id="11" w:name="_Toc89024479"/>
      <w:r>
        <w:rPr>
          <w:rFonts w:hint="eastAsia" w:ascii="仿宋" w:hAnsi="仿宋" w:eastAsia="仿宋" w:cs="仿宋"/>
          <w:b/>
          <w:color w:val="auto"/>
          <w:sz w:val="28"/>
          <w:szCs w:val="28"/>
          <w:highlight w:val="none"/>
        </w:rPr>
        <w:t>三、绩效评价工作情况</w:t>
      </w:r>
      <w:bookmarkEnd w:id="11"/>
    </w:p>
    <w:p>
      <w:pPr>
        <w:pStyle w:val="3"/>
        <w:spacing w:before="0" w:after="0" w:line="240" w:lineRule="auto"/>
        <w:ind w:firstLine="562" w:firstLineChars="200"/>
        <w:rPr>
          <w:rFonts w:ascii="仿宋" w:hAnsi="仿宋" w:eastAsia="仿宋" w:cs="仿宋"/>
          <w:bCs w:val="0"/>
          <w:color w:val="auto"/>
          <w:sz w:val="28"/>
          <w:szCs w:val="28"/>
          <w:highlight w:val="none"/>
        </w:rPr>
      </w:pPr>
      <w:bookmarkStart w:id="12" w:name="_Toc89024480"/>
      <w:r>
        <w:rPr>
          <w:rFonts w:hint="eastAsia" w:ascii="仿宋" w:hAnsi="仿宋" w:eastAsia="仿宋" w:cs="仿宋"/>
          <w:bCs w:val="0"/>
          <w:color w:val="auto"/>
          <w:sz w:val="28"/>
          <w:szCs w:val="28"/>
          <w:highlight w:val="none"/>
        </w:rPr>
        <w:t>（一）评价目的</w:t>
      </w:r>
      <w:bookmarkEnd w:id="12"/>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绩效管理是政府改革的重要方向，财政支出绩效评价是建设效能、责任和廉洁政府的重要手段。为客观评价2020年度</w:t>
      </w:r>
      <w:r>
        <w:rPr>
          <w:rFonts w:hint="eastAsia" w:ascii="仿宋" w:hAnsi="仿宋" w:eastAsia="仿宋" w:cs="仿宋"/>
          <w:color w:val="auto"/>
          <w:sz w:val="28"/>
          <w:szCs w:val="28"/>
          <w:highlight w:val="none"/>
          <w:lang w:val="en-US" w:eastAsia="zh-CN"/>
        </w:rPr>
        <w:t>泉州市</w:t>
      </w:r>
      <w:r>
        <w:rPr>
          <w:rFonts w:hint="eastAsia" w:ascii="仿宋" w:hAnsi="仿宋" w:eastAsia="仿宋" w:cs="仿宋"/>
          <w:color w:val="auto"/>
          <w:sz w:val="28"/>
          <w:szCs w:val="28"/>
          <w:highlight w:val="none"/>
        </w:rPr>
        <w:t>洛江区松材线虫病综合防控专项资金的项目绩效，在2020年度</w:t>
      </w:r>
      <w:r>
        <w:rPr>
          <w:rFonts w:hint="eastAsia" w:ascii="仿宋" w:hAnsi="仿宋" w:eastAsia="仿宋" w:cs="仿宋"/>
          <w:color w:val="auto"/>
          <w:sz w:val="28"/>
          <w:szCs w:val="28"/>
          <w:highlight w:val="none"/>
          <w:lang w:val="en-US" w:eastAsia="zh-CN"/>
        </w:rPr>
        <w:t>泉州市</w:t>
      </w:r>
      <w:r>
        <w:rPr>
          <w:rFonts w:hint="eastAsia" w:ascii="仿宋" w:hAnsi="仿宋" w:eastAsia="仿宋" w:cs="仿宋"/>
          <w:color w:val="auto"/>
          <w:sz w:val="28"/>
          <w:szCs w:val="28"/>
          <w:highlight w:val="none"/>
        </w:rPr>
        <w:t>洛江区松材线虫病综合防控相关单位绩效自评的基础上，结合项目特点，制定2020年度</w:t>
      </w:r>
      <w:r>
        <w:rPr>
          <w:rFonts w:hint="eastAsia" w:ascii="仿宋" w:hAnsi="仿宋" w:eastAsia="仿宋" w:cs="仿宋"/>
          <w:color w:val="auto"/>
          <w:sz w:val="28"/>
          <w:szCs w:val="28"/>
          <w:highlight w:val="none"/>
          <w:lang w:val="en-US" w:eastAsia="zh-CN"/>
        </w:rPr>
        <w:t>泉州市</w:t>
      </w:r>
      <w:r>
        <w:rPr>
          <w:rFonts w:hint="eastAsia" w:ascii="仿宋" w:hAnsi="仿宋" w:eastAsia="仿宋" w:cs="仿宋"/>
          <w:color w:val="auto"/>
          <w:sz w:val="28"/>
          <w:szCs w:val="28"/>
          <w:highlight w:val="none"/>
        </w:rPr>
        <w:t>洛江区松材线虫病综合防控专项资金绩效评价指标体系，运用科学、规范的评价方法，客观地对项目进行综合性评价，洛江区松材线虫病综合防控经费专项支出在预算、管理及项目实施过程中存在的问题，探究其可能的原因，最后提出相应的解决对策。通过绩效评价，在项目资金管理中引入绩效管理理念，规范管理方式，总结项目管理经验，同时加强项目资金管理，优化财政支出结构，进一步提升财政专项资金使用效益和政府公共服务水平，为领导科学决策提供确实有力的依据。</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13" w:name="_Toc89024481"/>
      <w:r>
        <w:rPr>
          <w:rFonts w:hint="eastAsia" w:ascii="仿宋" w:hAnsi="仿宋" w:eastAsia="仿宋" w:cs="仿宋"/>
          <w:bCs w:val="0"/>
          <w:color w:val="auto"/>
          <w:sz w:val="28"/>
          <w:szCs w:val="28"/>
          <w:highlight w:val="none"/>
        </w:rPr>
        <w:t>（二）评价指标</w:t>
      </w:r>
      <w:bookmarkEnd w:id="13"/>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绩效评价指标直接影响绩效评价结果的有效性，设计和选择评价指标时，评价工作小组遵循“相关性、经济性、可比性、重要性”的原则，通过对疫情防控经费专项支出相关文件的解读、对项目特点的深入研究以及对项目资料的整理分析的基础上，设计形成项目绩效评价体系。绩效评价总分100分，一级指标分为共性指标和个性指标两类，占比分别为40%、60%。</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共性指标包括决策、过程两个一级指标，在一级指标下设置了项目立项、绩效目标、资金投入、资金管理、组织实施等5个二级指标，分值分别为6分、6分、6分、10分、12分，共40分；设置三级指标13个，充分反映项目立项、绩效目标的设定及完成情况、项目资金投入情况、为实现绩效目标制定的制度及采取的措施、项目组织实施与监督管理情况以及项目资金的使用情况。</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个性指标包括产出、效益两个一级指标，并在一级指标下设置了产出数量、产出质量、产出时效、经济效益、社会效益、可持续效益、服务对象满意度等8个二级指标，分别占9分、14分、6分、3分、8分、7分、6分、7分；设置三级指标17个，较充分地反映出项目产出效果、项目效益情况。指标体系如表1所示：</w:t>
      </w:r>
    </w:p>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表4 泉州市洛江区2020年度松材线虫病综合防控专项资金绩效评价指标体系</w:t>
      </w:r>
    </w:p>
    <w:tbl>
      <w:tblPr>
        <w:tblStyle w:val="14"/>
        <w:tblW w:w="9456" w:type="dxa"/>
        <w:tblInd w:w="-210" w:type="dxa"/>
        <w:tblLayout w:type="fixed"/>
        <w:tblCellMar>
          <w:top w:w="0" w:type="dxa"/>
          <w:left w:w="108" w:type="dxa"/>
          <w:bottom w:w="0" w:type="dxa"/>
          <w:right w:w="108" w:type="dxa"/>
        </w:tblCellMar>
      </w:tblPr>
      <w:tblGrid>
        <w:gridCol w:w="834"/>
        <w:gridCol w:w="922"/>
        <w:gridCol w:w="1489"/>
        <w:gridCol w:w="5422"/>
        <w:gridCol w:w="789"/>
      </w:tblGrid>
      <w:tr>
        <w:tblPrEx>
          <w:tblCellMar>
            <w:top w:w="0" w:type="dxa"/>
            <w:left w:w="108" w:type="dxa"/>
            <w:bottom w:w="0" w:type="dxa"/>
            <w:right w:w="108" w:type="dxa"/>
          </w:tblCellMar>
        </w:tblPrEx>
        <w:trPr>
          <w:trHeight w:val="591" w:hRule="atLeast"/>
        </w:trPr>
        <w:tc>
          <w:tcPr>
            <w:tcW w:w="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一级</w:t>
            </w:r>
          </w:p>
          <w:p>
            <w:pPr>
              <w:widowControl/>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指标</w:t>
            </w:r>
          </w:p>
        </w:tc>
        <w:tc>
          <w:tcPr>
            <w:tcW w:w="92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二级指标</w:t>
            </w:r>
          </w:p>
        </w:tc>
        <w:tc>
          <w:tcPr>
            <w:tcW w:w="14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三级指标</w:t>
            </w:r>
          </w:p>
        </w:tc>
        <w:tc>
          <w:tcPr>
            <w:tcW w:w="542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指标解释</w:t>
            </w:r>
          </w:p>
        </w:tc>
        <w:tc>
          <w:tcPr>
            <w:tcW w:w="7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分值</w:t>
            </w:r>
          </w:p>
        </w:tc>
      </w:tr>
      <w:tr>
        <w:tblPrEx>
          <w:tblCellMar>
            <w:top w:w="0" w:type="dxa"/>
            <w:left w:w="108" w:type="dxa"/>
            <w:bottom w:w="0" w:type="dxa"/>
            <w:right w:w="108" w:type="dxa"/>
          </w:tblCellMar>
        </w:tblPrEx>
        <w:trPr>
          <w:trHeight w:val="879" w:hRule="atLeast"/>
        </w:trPr>
        <w:tc>
          <w:tcPr>
            <w:tcW w:w="83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决策</w:t>
            </w:r>
          </w:p>
        </w:tc>
        <w:tc>
          <w:tcPr>
            <w:tcW w:w="922"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项目立项</w:t>
            </w: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立项依据充分性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项目立项是否符合法律法规、相关政策、发展规划以及部门职责，是否与相关部门或本部门相关项目重复。无依据的，本项不得分，存在其他不规范问题的，每项扣1-2分。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1167"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立项程序规范性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项目申请、设立过程是否符合相关要求，是否按规定程序申请、审批，是否经过必要的可行性研究、专家论证、风险评估、集体决策等。而未办理立项程序的，不得分。立项程序不规范的，每项扣1分。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475"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绩效目标</w:t>
            </w: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绩效目标合理性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绩效目标设定依据是否充分，是否与项目实际内容密切相关、是否与所投入资金量相匹配、是否符合正常的预期业绩水平、是否体现一定的挑战性。不满足合理性上述要求的，每项目标扣0.5-1分。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591"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绩效指标明确性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绩效指标是否清晰、细化、可衡量，是否与目标任务数和计划数相对应。不满足明确性要求的，每项指标扣0.5-1分。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1167"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资金投入</w:t>
            </w: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预算编制科学性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预算编制是否经过科学论证，预算内容是否与项目内容相匹配，预算额度测算依据是否充分、是否符合相关标准，预算资金量是否与项目工作任务相匹配。不满足编制要求的，每项扣1分。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879"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资金分配合理性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资金分配是否有充分测算依据，分配额度是否与地方实际相适应，资金分配是否具备公平性。分配不合理的，每扣1-2分。存在明显不合理且影响较大的，本项不得分。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bottom"/>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591" w:hRule="atLeast"/>
        </w:trPr>
        <w:tc>
          <w:tcPr>
            <w:tcW w:w="83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过程</w:t>
            </w:r>
          </w:p>
        </w:tc>
        <w:tc>
          <w:tcPr>
            <w:tcW w:w="922"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资金管理</w:t>
            </w: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资金到位率</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实际到位资金与预算资金的比率。到位率100%的，不扣分，偏离每5%扣1分。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879"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预算执行率</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实际支出资金与实际到位资金的比率。执行率100%的不扣分，偏离每超过5%，扣1分，不足5%的，扣0.5分。本项得分扣完为止。</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w:t>
            </w:r>
          </w:p>
        </w:tc>
      </w:tr>
      <w:tr>
        <w:tblPrEx>
          <w:tblCellMar>
            <w:top w:w="0" w:type="dxa"/>
            <w:left w:w="108" w:type="dxa"/>
            <w:bottom w:w="0" w:type="dxa"/>
            <w:right w:w="108" w:type="dxa"/>
          </w:tblCellMar>
        </w:tblPrEx>
        <w:trPr>
          <w:trHeight w:val="591"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资金使用合规性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资金使用是否符合相关的财务管理制度规定。如有违规、超范围等支出，本项不得分。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1167"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组织实施</w:t>
            </w: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管理制度健全性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是否制定了用以规范项目实施的财务和业务管理制度，制度是否健全，并符合法律、法规及上级有关规定，能否有效指导项目实施。未制定的，本项不得分，不健全的扣2分，存在违规或不具备有效指导意义的，扣1-2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1743"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制度执行有效性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实施是否符合相关法律法规及管理制度规定，是否按有关文件及制度要求对项目实施全过程进行管理，包括对下级单位、项目实施单位的监管等，项目调整及支出调整手续是否完备，项目资料是否及时归档。有违反法律法规行为的，本项不得分。有违反管理制度或手续不完备、未及时归档的情况的，每一项，扣1-2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w:t>
            </w:r>
          </w:p>
        </w:tc>
      </w:tr>
      <w:tr>
        <w:tblPrEx>
          <w:tblCellMar>
            <w:top w:w="0" w:type="dxa"/>
            <w:left w:w="108" w:type="dxa"/>
            <w:bottom w:w="0" w:type="dxa"/>
            <w:right w:w="108" w:type="dxa"/>
          </w:tblCellMar>
        </w:tblPrEx>
        <w:trPr>
          <w:trHeight w:val="1167"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人员保障充足性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Style w:val="25"/>
                <w:rFonts w:hint="default" w:ascii="仿宋" w:hAnsi="仿宋" w:eastAsia="仿宋" w:cs="仿宋"/>
                <w:color w:val="auto"/>
                <w:sz w:val="24"/>
                <w:szCs w:val="24"/>
                <w:highlight w:val="none"/>
              </w:rPr>
              <w:t>项目实施单位、管理单位投入的人员数量、素质等方面是否满足项目实施的要求，能保证项目实施效果。项目实施实际投入人数占项目需要人数的比例低于</w:t>
            </w:r>
            <w:r>
              <w:rPr>
                <w:rFonts w:hint="eastAsia" w:ascii="仿宋" w:hAnsi="仿宋" w:eastAsia="仿宋" w:cs="仿宋"/>
                <w:color w:val="auto"/>
                <w:sz w:val="24"/>
                <w:szCs w:val="24"/>
                <w:highlight w:val="none"/>
              </w:rPr>
              <w:t>100%</w:t>
            </w:r>
            <w:r>
              <w:rPr>
                <w:rStyle w:val="25"/>
                <w:rFonts w:hint="default" w:ascii="仿宋" w:hAnsi="仿宋" w:eastAsia="仿宋" w:cs="仿宋"/>
                <w:color w:val="auto"/>
                <w:sz w:val="24"/>
                <w:szCs w:val="24"/>
                <w:highlight w:val="none"/>
              </w:rPr>
              <w:t>的，每</w:t>
            </w:r>
            <w:r>
              <w:rPr>
                <w:rFonts w:hint="eastAsia" w:ascii="仿宋" w:hAnsi="仿宋" w:eastAsia="仿宋" w:cs="仿宋"/>
                <w:color w:val="auto"/>
                <w:sz w:val="24"/>
                <w:szCs w:val="24"/>
                <w:highlight w:val="none"/>
              </w:rPr>
              <w:t>10%</w:t>
            </w:r>
            <w:r>
              <w:rPr>
                <w:rStyle w:val="25"/>
                <w:rFonts w:hint="default" w:ascii="仿宋" w:hAnsi="仿宋" w:eastAsia="仿宋" w:cs="仿宋"/>
                <w:color w:val="auto"/>
                <w:sz w:val="24"/>
                <w:szCs w:val="24"/>
                <w:highlight w:val="none"/>
              </w:rPr>
              <w:t>扣</w:t>
            </w:r>
            <w:r>
              <w:rPr>
                <w:rFonts w:hint="eastAsia" w:ascii="仿宋" w:hAnsi="仿宋" w:eastAsia="仿宋" w:cs="仿宋"/>
                <w:color w:val="auto"/>
                <w:sz w:val="24"/>
                <w:szCs w:val="24"/>
                <w:highlight w:val="none"/>
              </w:rPr>
              <w:t>1</w:t>
            </w:r>
            <w:r>
              <w:rPr>
                <w:rStyle w:val="25"/>
                <w:rFonts w:hint="default" w:ascii="仿宋" w:hAnsi="仿宋" w:eastAsia="仿宋" w:cs="仿宋"/>
                <w:color w:val="auto"/>
                <w:sz w:val="24"/>
                <w:szCs w:val="24"/>
                <w:highlight w:val="none"/>
              </w:rPr>
              <w:t>分，不足</w:t>
            </w:r>
            <w:r>
              <w:rPr>
                <w:rFonts w:hint="eastAsia" w:ascii="仿宋" w:hAnsi="仿宋" w:eastAsia="仿宋" w:cs="仿宋"/>
                <w:color w:val="auto"/>
                <w:sz w:val="24"/>
                <w:szCs w:val="24"/>
                <w:highlight w:val="none"/>
              </w:rPr>
              <w:t>10%</w:t>
            </w:r>
            <w:r>
              <w:rPr>
                <w:rStyle w:val="25"/>
                <w:rFonts w:hint="default" w:ascii="仿宋" w:hAnsi="仿宋" w:eastAsia="仿宋" w:cs="仿宋"/>
                <w:color w:val="auto"/>
                <w:sz w:val="24"/>
                <w:szCs w:val="24"/>
                <w:highlight w:val="none"/>
              </w:rPr>
              <w:t>的，视同</w:t>
            </w:r>
            <w:r>
              <w:rPr>
                <w:rFonts w:hint="eastAsia" w:ascii="仿宋" w:hAnsi="仿宋" w:eastAsia="仿宋" w:cs="仿宋"/>
                <w:color w:val="auto"/>
                <w:sz w:val="24"/>
                <w:szCs w:val="24"/>
                <w:highlight w:val="none"/>
              </w:rPr>
              <w:t>10%</w:t>
            </w:r>
            <w:r>
              <w:rPr>
                <w:rStyle w:val="25"/>
                <w:rFonts w:hint="default" w:ascii="仿宋" w:hAnsi="仿宋" w:eastAsia="仿宋" w:cs="仿宋"/>
                <w:color w:val="auto"/>
                <w:sz w:val="24"/>
                <w:szCs w:val="24"/>
                <w:highlight w:val="none"/>
              </w:rPr>
              <w:t>，本项得分扣完为止。</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r>
      <w:tr>
        <w:tblPrEx>
          <w:tblCellMar>
            <w:top w:w="0" w:type="dxa"/>
            <w:left w:w="108" w:type="dxa"/>
            <w:bottom w:w="0" w:type="dxa"/>
            <w:right w:w="108" w:type="dxa"/>
          </w:tblCellMar>
        </w:tblPrEx>
        <w:trPr>
          <w:trHeight w:val="1167" w:hRule="atLeast"/>
        </w:trPr>
        <w:tc>
          <w:tcPr>
            <w:tcW w:w="8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22"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机构保障充分性</w:t>
            </w:r>
          </w:p>
        </w:tc>
        <w:tc>
          <w:tcPr>
            <w:tcW w:w="5422"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Style w:val="25"/>
                <w:rFonts w:hint="default" w:ascii="仿宋" w:hAnsi="仿宋" w:eastAsia="仿宋" w:cs="仿宋"/>
                <w:color w:val="auto"/>
                <w:sz w:val="24"/>
                <w:szCs w:val="24"/>
                <w:highlight w:val="none"/>
              </w:rPr>
              <w:t>是否成立了项目实施管理的机构或组织，或安排了适当的科室负责，决策机构、执行机构、监督机构、应急机构齐全，分工合理。机构不健全的，扣</w:t>
            </w:r>
            <w:r>
              <w:rPr>
                <w:rFonts w:hint="eastAsia" w:ascii="仿宋" w:hAnsi="仿宋" w:eastAsia="仿宋" w:cs="仿宋"/>
                <w:color w:val="auto"/>
                <w:sz w:val="24"/>
                <w:szCs w:val="24"/>
                <w:highlight w:val="none"/>
              </w:rPr>
              <w:t>1</w:t>
            </w:r>
            <w:r>
              <w:rPr>
                <w:rStyle w:val="25"/>
                <w:rFonts w:hint="default" w:ascii="仿宋" w:hAnsi="仿宋" w:eastAsia="仿宋" w:cs="仿宋"/>
                <w:color w:val="auto"/>
                <w:sz w:val="24"/>
                <w:szCs w:val="24"/>
                <w:highlight w:val="none"/>
              </w:rPr>
              <w:t>分，未项目实施机构的，不得分。</w:t>
            </w:r>
          </w:p>
        </w:tc>
        <w:tc>
          <w:tcPr>
            <w:tcW w:w="7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r>
      <w:tr>
        <w:tblPrEx>
          <w:tblCellMar>
            <w:top w:w="0" w:type="dxa"/>
            <w:left w:w="108" w:type="dxa"/>
            <w:bottom w:w="0" w:type="dxa"/>
            <w:right w:w="108" w:type="dxa"/>
          </w:tblCellMar>
        </w:tblPrEx>
        <w:trPr>
          <w:trHeight w:val="1032" w:hRule="atLeast"/>
        </w:trPr>
        <w:tc>
          <w:tcPr>
            <w:tcW w:w="834" w:type="dxa"/>
            <w:vMerge w:val="restart"/>
            <w:tcBorders>
              <w:top w:val="single" w:color="000000" w:sz="4" w:space="0"/>
              <w:left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Style w:val="27"/>
                <w:rFonts w:hint="default" w:ascii="仿宋" w:hAnsi="仿宋" w:eastAsia="仿宋" w:cs="仿宋"/>
                <w:b/>
                <w:bCs/>
                <w:color w:val="auto"/>
                <w:sz w:val="24"/>
                <w:szCs w:val="24"/>
                <w:highlight w:val="none"/>
              </w:rPr>
              <w:t>产出</w:t>
            </w:r>
            <w:r>
              <w:rPr>
                <w:rFonts w:hint="eastAsia" w:ascii="仿宋" w:hAnsi="仿宋" w:eastAsia="仿宋" w:cs="仿宋"/>
                <w:color w:val="auto"/>
                <w:kern w:val="0"/>
                <w:sz w:val="24"/>
                <w:szCs w:val="24"/>
                <w:highlight w:val="none"/>
              </w:rPr>
              <w:t xml:space="preserve"> </w:t>
            </w:r>
          </w:p>
        </w:tc>
        <w:tc>
          <w:tcPr>
            <w:tcW w:w="92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产出数量</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松材线虫病松林监测覆盖面积</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2020年要求对洛江区21.5万亩松林全面普查，监测覆盖率每少5%，扣1分，不足5%的，按照5%计算</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864"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枯死松树清理和疫木除害完成率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枯死松树清理和疫木除害完成率要求达到100%。每少5%，扣1分，不足5%的，按5%计算。</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864"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媒介松墨天牛防治率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松墨天牛主要发生区防治率要求达100%,每少5%，扣1分，不足5%的，按5%计算。</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576"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产出质量</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松枯死木数量下降率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松枯死木数量较2019年降低30%，每减少5%，扣1分，不足5%的，按5%计算。</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CellMar>
            <w:top w:w="0" w:type="dxa"/>
            <w:left w:w="108" w:type="dxa"/>
            <w:bottom w:w="0" w:type="dxa"/>
            <w:right w:w="108" w:type="dxa"/>
          </w:tblCellMar>
        </w:tblPrEx>
        <w:trPr>
          <w:trHeight w:val="864"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松枯死木分布面积减少率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松枯死木分布面积较2019年下降10%，每减少5%，</w:t>
            </w:r>
            <w:r>
              <w:rPr>
                <w:rFonts w:hint="eastAsia" w:ascii="仿宋" w:hAnsi="仿宋" w:eastAsia="仿宋" w:cs="仿宋"/>
                <w:color w:val="auto"/>
                <w:kern w:val="0"/>
                <w:sz w:val="24"/>
                <w:szCs w:val="24"/>
                <w:highlight w:val="none"/>
              </w:rPr>
              <w:t>扣1分，不足5%的，按5%计算。</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CellMar>
            <w:top w:w="0" w:type="dxa"/>
            <w:left w:w="108" w:type="dxa"/>
            <w:bottom w:w="0" w:type="dxa"/>
            <w:right w:w="108" w:type="dxa"/>
          </w:tblCellMar>
        </w:tblPrEx>
        <w:trPr>
          <w:trHeight w:val="864"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松材线虫病疫情发生面积保持率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基于2019年数据，2020年松材线虫病</w:t>
            </w:r>
            <w:r>
              <w:rPr>
                <w:rFonts w:hint="eastAsia" w:ascii="仿宋" w:hAnsi="仿宋" w:eastAsia="仿宋" w:cs="仿宋"/>
                <w:color w:val="auto"/>
                <w:sz w:val="24"/>
                <w:szCs w:val="24"/>
                <w:highlight w:val="none"/>
              </w:rPr>
              <w:t>疫点数量、疫情面积要求做到两个不增加，每增加一个疫点扣1分，增加疫情面积扣1分。</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864"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各疫情防控区验收合格率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各疫情防控区以实施方案为标准，符合标准验收合格，要求验收合格率为90%，</w:t>
            </w:r>
            <w:r>
              <w:rPr>
                <w:rFonts w:hint="eastAsia" w:ascii="仿宋" w:hAnsi="仿宋" w:eastAsia="仿宋" w:cs="仿宋"/>
                <w:color w:val="auto"/>
                <w:sz w:val="24"/>
                <w:szCs w:val="24"/>
                <w:highlight w:val="none"/>
              </w:rPr>
              <w:t>每减少5%，</w:t>
            </w:r>
            <w:r>
              <w:rPr>
                <w:rFonts w:hint="eastAsia" w:ascii="仿宋" w:hAnsi="仿宋" w:eastAsia="仿宋" w:cs="仿宋"/>
                <w:color w:val="auto"/>
                <w:kern w:val="0"/>
                <w:sz w:val="24"/>
                <w:szCs w:val="24"/>
                <w:highlight w:val="none"/>
              </w:rPr>
              <w:t>扣1分，不足5%的，扣0.5分。</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1152"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产出时效</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对各疫情防控区支付防治资金及时性的监管到位率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主管部门对各疫情防控区按照各自招标合同时间支付防治资金进行监管，未按照合同要求支付的，一个乡镇扣0.5分。</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r>
      <w:tr>
        <w:tblPrEx>
          <w:tblCellMar>
            <w:top w:w="0" w:type="dxa"/>
            <w:left w:w="108" w:type="dxa"/>
            <w:bottom w:w="0" w:type="dxa"/>
            <w:right w:w="108" w:type="dxa"/>
          </w:tblCellMar>
        </w:tblPrEx>
        <w:trPr>
          <w:trHeight w:val="864" w:hRule="atLeast"/>
        </w:trPr>
        <w:tc>
          <w:tcPr>
            <w:tcW w:w="834"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防治药剂药械采购到位及时率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按照招标合同要求防治药剂药械采购到位及时率要求达到100%，得满分，否则在规定的时间内</w:t>
            </w:r>
            <w:r>
              <w:rPr>
                <w:rFonts w:hint="eastAsia" w:ascii="仿宋" w:hAnsi="仿宋" w:eastAsia="仿宋" w:cs="仿宋"/>
                <w:color w:val="auto"/>
                <w:kern w:val="0"/>
                <w:sz w:val="24"/>
                <w:szCs w:val="24"/>
                <w:highlight w:val="none"/>
              </w:rPr>
              <w:t>防治药剂药械采购到位量占应该到位量的百分比计分。</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r>
      <w:tr>
        <w:tblPrEx>
          <w:tblCellMar>
            <w:top w:w="0" w:type="dxa"/>
            <w:left w:w="108" w:type="dxa"/>
            <w:bottom w:w="0" w:type="dxa"/>
            <w:right w:w="108" w:type="dxa"/>
          </w:tblCellMar>
        </w:tblPrEx>
        <w:trPr>
          <w:trHeight w:val="864" w:hRule="atLeast"/>
        </w:trPr>
        <w:tc>
          <w:tcPr>
            <w:tcW w:w="834" w:type="dxa"/>
            <w:vMerge w:val="continue"/>
            <w:tcBorders>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枯死松树除害及时性</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于2020年内枯死松树除害全部合格完成为满分，超过2020年，根据实际情况斟酌扣分。</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tblPrEx>
          <w:tblCellMar>
            <w:top w:w="0" w:type="dxa"/>
            <w:left w:w="108" w:type="dxa"/>
            <w:bottom w:w="0" w:type="dxa"/>
            <w:right w:w="108" w:type="dxa"/>
          </w:tblCellMar>
        </w:tblPrEx>
        <w:trPr>
          <w:trHeight w:val="864"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效益</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highlight w:val="none"/>
              </w:rPr>
            </w:pPr>
            <w:r>
              <w:rPr>
                <w:rFonts w:hint="eastAsia"/>
                <w:color w:val="auto"/>
                <w:highlight w:val="none"/>
              </w:rPr>
              <w:t>经济</w:t>
            </w:r>
          </w:p>
          <w:p>
            <w:pPr>
              <w:pStyle w:val="2"/>
              <w:jc w:val="center"/>
              <w:rPr>
                <w:color w:val="auto"/>
                <w:highlight w:val="none"/>
                <w:lang w:val="en-US"/>
              </w:rPr>
            </w:pPr>
            <w:r>
              <w:rPr>
                <w:rFonts w:hint="eastAsia" w:ascii="仿宋" w:hAnsi="仿宋" w:eastAsia="仿宋" w:cs="仿宋"/>
                <w:color w:val="auto"/>
                <w:sz w:val="24"/>
                <w:szCs w:val="24"/>
                <w:highlight w:val="none"/>
                <w:lang w:val="en-US"/>
              </w:rPr>
              <w:t>效益</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2021年防控疫情资金下降率</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2021年预算防控资金，相较于2020年防控资金，下降率5%，每减少1%，扣1分，不足1%，按1%计算。</w:t>
            </w:r>
            <w:r>
              <w:rPr>
                <w:rFonts w:hint="eastAsia" w:ascii="仿宋" w:hAnsi="仿宋" w:eastAsia="仿宋" w:cs="仿宋"/>
                <w:color w:val="auto"/>
                <w:sz w:val="24"/>
                <w:szCs w:val="24"/>
                <w:highlight w:val="none"/>
              </w:rPr>
              <w:t xml:space="preserve"> </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115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社会效益</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枯死松树除害</w:t>
            </w:r>
            <w:r>
              <w:rPr>
                <w:rFonts w:hint="eastAsia" w:ascii="仿宋" w:hAnsi="仿宋" w:eastAsia="仿宋" w:cs="仿宋"/>
                <w:color w:val="auto"/>
                <w:kern w:val="0"/>
                <w:sz w:val="24"/>
                <w:szCs w:val="24"/>
                <w:highlight w:val="none"/>
              </w:rPr>
              <w:t>能力提升</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枯死松树清理质量合格率100%，未达到100%,每减少5%，</w:t>
            </w:r>
            <w:r>
              <w:rPr>
                <w:rFonts w:hint="eastAsia" w:ascii="仿宋" w:hAnsi="仿宋" w:eastAsia="仿宋" w:cs="仿宋"/>
                <w:color w:val="auto"/>
                <w:kern w:val="0"/>
                <w:sz w:val="24"/>
                <w:szCs w:val="24"/>
                <w:highlight w:val="none"/>
              </w:rPr>
              <w:t>扣1分，不足5%的，按5%计算。</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CellMar>
            <w:top w:w="0" w:type="dxa"/>
            <w:left w:w="108" w:type="dxa"/>
            <w:bottom w:w="0" w:type="dxa"/>
            <w:right w:w="108" w:type="dxa"/>
          </w:tblCellMar>
        </w:tblPrEx>
        <w:trPr>
          <w:trHeight w:val="115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无松材线虫病疫情乡镇持续性</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已经治理后无</w:t>
            </w:r>
            <w:r>
              <w:rPr>
                <w:rFonts w:hint="eastAsia" w:ascii="仿宋" w:hAnsi="仿宋" w:eastAsia="仿宋" w:cs="仿宋"/>
                <w:color w:val="auto"/>
                <w:kern w:val="0"/>
                <w:sz w:val="24"/>
                <w:szCs w:val="24"/>
                <w:highlight w:val="none"/>
              </w:rPr>
              <w:t>松材线虫病疫情乡镇，截止今年年底不反复且有完善措施保证不再发生疫情，得满分，否则不得分。</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CellMar>
            <w:top w:w="0" w:type="dxa"/>
            <w:left w:w="108" w:type="dxa"/>
            <w:bottom w:w="0" w:type="dxa"/>
            <w:right w:w="108" w:type="dxa"/>
          </w:tblCellMar>
        </w:tblPrEx>
        <w:trPr>
          <w:trHeight w:val="864"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生态效益</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山地绿化和生态环境改善情况</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2020年秋季普查，洛江区21.5万亩松林没有枯死没处理情况，得满分;若存在枯死松木没有处理，每5棵扣1分，直至扣完为止。 </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864"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无松材线虫病疫情防治对环境无污染</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对松墨天牛虫林采用生物防治、无公害防治等措施，不污染环境，得满分，污染环境不得分。</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r>
      <w:tr>
        <w:tblPrEx>
          <w:tblCellMar>
            <w:top w:w="0" w:type="dxa"/>
            <w:left w:w="108" w:type="dxa"/>
            <w:bottom w:w="0" w:type="dxa"/>
            <w:right w:w="108" w:type="dxa"/>
          </w:tblCellMar>
        </w:tblPrEx>
        <w:trPr>
          <w:trHeight w:val="115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可持续效益</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松材线虫病防控知识的宣传力度提高</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群众对松材线虫病防控知识的知情情况，按知情群众人数占总人数的百分比确定分数。</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w:t>
            </w:r>
          </w:p>
        </w:tc>
      </w:tr>
      <w:tr>
        <w:tblPrEx>
          <w:tblCellMar>
            <w:top w:w="0" w:type="dxa"/>
            <w:left w:w="108" w:type="dxa"/>
            <w:bottom w:w="0" w:type="dxa"/>
            <w:right w:w="108" w:type="dxa"/>
          </w:tblCellMar>
        </w:tblPrEx>
        <w:trPr>
          <w:trHeight w:val="115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服务对象满意度</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服务对象满意度</w:t>
            </w:r>
          </w:p>
        </w:tc>
        <w:tc>
          <w:tcPr>
            <w:tcW w:w="5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未收到松材线虫病防控的相关投诉，得满分，每收到投诉1例扣0.5分，直至扣完为止。</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7</w:t>
            </w:r>
          </w:p>
        </w:tc>
      </w:tr>
      <w:tr>
        <w:tblPrEx>
          <w:tblCellMar>
            <w:top w:w="0" w:type="dxa"/>
            <w:left w:w="108" w:type="dxa"/>
            <w:bottom w:w="0" w:type="dxa"/>
            <w:right w:w="108" w:type="dxa"/>
          </w:tblCellMar>
        </w:tblPrEx>
        <w:trPr>
          <w:trHeight w:val="507" w:hRule="atLeast"/>
        </w:trPr>
        <w:tc>
          <w:tcPr>
            <w:tcW w:w="86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27"/>
                <w:rFonts w:hint="default" w:ascii="仿宋" w:hAnsi="仿宋" w:eastAsia="仿宋" w:cs="仿宋"/>
                <w:color w:val="auto"/>
                <w:sz w:val="24"/>
                <w:szCs w:val="24"/>
                <w:highlight w:val="none"/>
              </w:rPr>
            </w:pPr>
            <w:r>
              <w:rPr>
                <w:rStyle w:val="27"/>
                <w:rFonts w:hint="default" w:ascii="仿宋" w:hAnsi="仿宋" w:eastAsia="仿宋" w:cs="仿宋"/>
                <w:color w:val="auto"/>
                <w:sz w:val="24"/>
                <w:szCs w:val="24"/>
                <w:highlight w:val="none"/>
              </w:rPr>
              <w:t>合计</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100</w:t>
            </w:r>
          </w:p>
        </w:tc>
      </w:tr>
    </w:tbl>
    <w:p>
      <w:pPr>
        <w:pStyle w:val="2"/>
        <w:rPr>
          <w:color w:val="auto"/>
          <w:highlight w:val="none"/>
        </w:rPr>
      </w:pPr>
    </w:p>
    <w:p>
      <w:pPr>
        <w:pStyle w:val="3"/>
        <w:spacing w:before="0" w:after="0" w:line="240" w:lineRule="auto"/>
        <w:ind w:firstLine="562" w:firstLineChars="200"/>
        <w:rPr>
          <w:rFonts w:ascii="仿宋" w:hAnsi="仿宋" w:eastAsia="仿宋" w:cs="仿宋"/>
          <w:bCs w:val="0"/>
          <w:color w:val="auto"/>
          <w:sz w:val="28"/>
          <w:szCs w:val="28"/>
          <w:highlight w:val="none"/>
        </w:rPr>
      </w:pPr>
      <w:bookmarkStart w:id="14" w:name="_Toc89024482"/>
      <w:r>
        <w:rPr>
          <w:rFonts w:hint="eastAsia" w:ascii="仿宋" w:hAnsi="仿宋" w:eastAsia="仿宋" w:cs="仿宋"/>
          <w:bCs w:val="0"/>
          <w:color w:val="auto"/>
          <w:sz w:val="28"/>
          <w:szCs w:val="28"/>
          <w:highlight w:val="none"/>
        </w:rPr>
        <w:t>（三）评价依据</w:t>
      </w:r>
      <w:bookmarkEnd w:id="14"/>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1.《中共中央 国务院关于全面实施预算绩效管理的意见》（中发〔2018〕34号）；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财政部《关于印发&lt;项目支出绩效评价管理办法&gt;的通知》（财预〔2020〕10号）；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3.《中共福建省委 福建省人民政府印发&lt;关于全面实施预算绩效管理的实施意见&gt;的通知》（闽委发〔2019〕5号）；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4.《福建省财政厅关于印发财政支出绩效评价指标体系及使用指南的通知》（ 闽财绩〔2012〕13号）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5.《福建省财政厅关于印发&lt;福建省财政支出绩效评价管理暂行办法&gt;的通知》（闽财绩〔2015〕4号）；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6.《中共泉州市委办公室 泉州市人民政府办公室关于印发&lt;全面实施预算绩效管理的若干措施&gt;的通知》（泉委办发〔2019〕42号）；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7.《泉州市机关效能建设领导小组办公室 泉州市统计局关于印发2020年度县（市、区）、泉州开发区、泉州台商投资区绩效考核指标解释的通知》（泉效办〔2020〕4号）；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8. 《福建省林业厅关于印发福建省突发林业有害生物时间应急预案的通知》（闽林综〔2017〕70号）；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9. 《泉州市林业局关于印发泉州市突发林业有害生物时间应急预案的通知》（泉洛政林〔2017〕35号）；</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10.《洛江区林业局关于印发洛江区突发林业有害生物时间应急预案的通知》（泉洛政林〔2017〕138号）；</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15" w:name="_Toc89024483"/>
      <w:r>
        <w:rPr>
          <w:rFonts w:hint="eastAsia" w:ascii="仿宋" w:hAnsi="仿宋" w:eastAsia="仿宋" w:cs="仿宋"/>
          <w:bCs w:val="0"/>
          <w:color w:val="auto"/>
          <w:sz w:val="28"/>
          <w:szCs w:val="28"/>
          <w:highlight w:val="none"/>
        </w:rPr>
        <w:t>（四）评价原则</w:t>
      </w:r>
      <w:bookmarkEnd w:id="15"/>
    </w:p>
    <w:p>
      <w:pPr>
        <w:ind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一是科学规范原则。严格执行有关程序，按照科学可行的要求，采用定量与定性分析相结合、理论与实践相结合的方法设计评价指标体系。</w:t>
      </w:r>
    </w:p>
    <w:p>
      <w:pPr>
        <w:ind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二是公正公开原则。符合真实、客观、公正的要求，依法公开并接受监督。</w:t>
      </w:r>
    </w:p>
    <w:p>
      <w:pPr>
        <w:ind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三是利害关系回避原则。绩效评价工作由泉州市洛江区财政局委托泉州招标咨询中心实施。</w:t>
      </w:r>
    </w:p>
    <w:p>
      <w:pPr>
        <w:ind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四是绩效相关原则。绩效评价针对泉州市洛江区2020年度松材线虫病综合防控专项资金投入及其产出绩效进行，评价结果清晰地反映两者之间的紧密对应关系。</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16" w:name="_Toc89024484"/>
      <w:r>
        <w:rPr>
          <w:rFonts w:hint="eastAsia" w:ascii="仿宋" w:hAnsi="仿宋" w:eastAsia="仿宋" w:cs="仿宋"/>
          <w:bCs w:val="0"/>
          <w:color w:val="auto"/>
          <w:sz w:val="28"/>
          <w:szCs w:val="28"/>
          <w:highlight w:val="none"/>
        </w:rPr>
        <w:t>（五）评定方法和等级设定</w:t>
      </w:r>
      <w:bookmarkEnd w:id="16"/>
    </w:p>
    <w:p>
      <w:pPr>
        <w:ind w:firstLine="560" w:firstLineChars="200"/>
        <w:rPr>
          <w:rFonts w:ascii="仿宋" w:hAnsi="仿宋" w:eastAsia="仿宋" w:cs="仿宋"/>
          <w:b/>
          <w:color w:val="auto"/>
          <w:sz w:val="24"/>
          <w:szCs w:val="24"/>
          <w:highlight w:val="none"/>
        </w:rPr>
      </w:pPr>
      <w:r>
        <w:rPr>
          <w:rFonts w:hint="eastAsia" w:ascii="仿宋" w:hAnsi="仿宋" w:eastAsia="仿宋" w:cs="仿宋"/>
          <w:color w:val="auto"/>
          <w:sz w:val="28"/>
          <w:szCs w:val="28"/>
          <w:highlight w:val="none"/>
        </w:rPr>
        <w:t>本次绩效评价通过实施单位的数据填报，辅以评价工作小组实地调查、查阅问卷、听取汇报、查看项目管理及财务管理资料等方式收集信息，采用成本效益分析法、比较法、公众评判法、问卷调查法等进行评分，以定量考核与以定性分析为相结合，汇总形成评价综合得分。评价结果分为优、良、中、差四个等级，根据各项指标得分合计分数，确定综合评价等级。具体如表2：</w:t>
      </w:r>
    </w:p>
    <w:p>
      <w:pPr>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表5 绩效评价等级表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1566"/>
        <w:gridCol w:w="1566"/>
        <w:gridCol w:w="1566"/>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2152" w:type="dxa"/>
            <w:shd w:val="clear" w:color="auto" w:fill="auto"/>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评价等级</w:t>
            </w:r>
          </w:p>
        </w:tc>
        <w:tc>
          <w:tcPr>
            <w:tcW w:w="1566" w:type="dxa"/>
            <w:shd w:val="clear" w:color="auto" w:fill="auto"/>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优</w:t>
            </w:r>
          </w:p>
        </w:tc>
        <w:tc>
          <w:tcPr>
            <w:tcW w:w="1566" w:type="dxa"/>
            <w:shd w:val="clear" w:color="auto" w:fill="auto"/>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良</w:t>
            </w:r>
          </w:p>
        </w:tc>
        <w:tc>
          <w:tcPr>
            <w:tcW w:w="1566" w:type="dxa"/>
            <w:shd w:val="clear" w:color="auto" w:fill="auto"/>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中</w:t>
            </w:r>
          </w:p>
        </w:tc>
        <w:tc>
          <w:tcPr>
            <w:tcW w:w="1818" w:type="dxa"/>
            <w:shd w:val="clear" w:color="auto" w:fill="auto"/>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2152" w:type="dxa"/>
            <w:shd w:val="clear" w:color="auto" w:fill="auto"/>
            <w:vAlign w:val="center"/>
          </w:tcPr>
          <w:p>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参考分值S</w:t>
            </w:r>
          </w:p>
        </w:tc>
        <w:tc>
          <w:tcPr>
            <w:tcW w:w="1566" w:type="dxa"/>
            <w:shd w:val="clear" w:color="auto" w:fill="auto"/>
            <w:vAlign w:val="center"/>
          </w:tcPr>
          <w:p>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S≥90</w:t>
            </w:r>
          </w:p>
        </w:tc>
        <w:tc>
          <w:tcPr>
            <w:tcW w:w="1566" w:type="dxa"/>
            <w:shd w:val="clear" w:color="auto" w:fill="auto"/>
            <w:vAlign w:val="center"/>
          </w:tcPr>
          <w:p>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90&gt;S≥80</w:t>
            </w:r>
          </w:p>
        </w:tc>
        <w:tc>
          <w:tcPr>
            <w:tcW w:w="1566" w:type="dxa"/>
            <w:shd w:val="clear" w:color="auto" w:fill="auto"/>
            <w:vAlign w:val="center"/>
          </w:tcPr>
          <w:p>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80&gt;S≥60</w:t>
            </w:r>
          </w:p>
        </w:tc>
        <w:tc>
          <w:tcPr>
            <w:tcW w:w="1818" w:type="dxa"/>
            <w:shd w:val="clear" w:color="auto" w:fill="auto"/>
            <w:vAlign w:val="center"/>
          </w:tcPr>
          <w:p>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S&lt;60</w:t>
            </w:r>
          </w:p>
        </w:tc>
      </w:tr>
    </w:tbl>
    <w:p>
      <w:pPr>
        <w:pStyle w:val="3"/>
        <w:spacing w:before="0" w:after="0" w:line="240" w:lineRule="auto"/>
        <w:ind w:firstLine="562" w:firstLineChars="200"/>
        <w:rPr>
          <w:rFonts w:ascii="仿宋" w:hAnsi="仿宋" w:eastAsia="仿宋" w:cs="仿宋"/>
          <w:bCs w:val="0"/>
          <w:color w:val="auto"/>
          <w:sz w:val="28"/>
          <w:szCs w:val="28"/>
          <w:highlight w:val="none"/>
        </w:rPr>
      </w:pPr>
      <w:bookmarkStart w:id="17" w:name="_Toc89024485"/>
      <w:r>
        <w:rPr>
          <w:rFonts w:hint="eastAsia" w:ascii="仿宋" w:hAnsi="仿宋" w:eastAsia="仿宋" w:cs="仿宋"/>
          <w:bCs w:val="0"/>
          <w:color w:val="auto"/>
          <w:sz w:val="28"/>
          <w:szCs w:val="28"/>
          <w:highlight w:val="none"/>
        </w:rPr>
        <w:t>（六）组织实施</w:t>
      </w:r>
      <w:bookmarkEnd w:id="17"/>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按照评价工作流程，分为准备阶段、实施阶段和评价报告撰写阶段等三个步骤实施评价工作。</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准备阶段（2021年8月下旬）：泉州市洛江区财政局牵头、被评价项目主管单位科室配合、第三方评价机构泉州市招标咨询中心地方财政绩效评价所三方召开2021年绩效评价项目启动会议。组成绩效评价工作小组，拟定项目绩效评价实施方案，制定绩效评价工作计划。</w:t>
      </w:r>
    </w:p>
    <w:p>
      <w:pPr>
        <w:ind w:firstLine="560" w:firstLineChars="200"/>
        <w:rPr>
          <w:rFonts w:eastAsia="宋体"/>
          <w:color w:val="auto"/>
          <w:highlight w:val="none"/>
        </w:rPr>
      </w:pPr>
      <w:r>
        <w:rPr>
          <w:rFonts w:hint="eastAsia" w:ascii="仿宋" w:hAnsi="仿宋" w:eastAsia="仿宋" w:cs="仿宋"/>
          <w:color w:val="auto"/>
          <w:sz w:val="28"/>
          <w:szCs w:val="28"/>
          <w:highlight w:val="none"/>
        </w:rPr>
        <w:t>2.基础资料收集阶段（2021年8月下旬至9月初）：根据实施方案，评价工作组提供资料清单给区财政局和各项目主管单位，我中心安排专业人员对个项目单位进行首次调研，解释资料清单所列资料定义、范围，对各被评价项目以及项目单位进行初步了解。</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实施阶段（2021年9月初至9月下旬）：根据前期收集回来的基础资料进行分析后，部署开展二次现场调研。由评价专家带队走访项目主管部门和项目实施单位，现场座谈交流，进一步收集项目资料，对项目相关文件进行解读，制定评价指标体系；勘验检查项目现场，听取实施单位情况汇报，查阅核实有关数据资料，开展问卷调查，实施汇总分析。</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报告撰写阶段（2021年10月上旬）：经过网络查阅、现场咨询、检查核实等步骤，在收集、整理、汇总、核实、分析相关资料和数据的基础上，对项目管理、政策制度执行以及资金的使用、产生的效果进行综合评价，形成项目绩效评价报告。</w:t>
      </w:r>
    </w:p>
    <w:p>
      <w:pPr>
        <w:ind w:firstLine="560" w:firstLineChars="200"/>
        <w:rPr>
          <w:rFonts w:ascii="仿宋" w:hAnsi="仿宋" w:eastAsia="仿宋" w:cs="仿宋"/>
          <w:color w:val="auto"/>
          <w:sz w:val="28"/>
          <w:szCs w:val="28"/>
          <w:highlight w:val="none"/>
        </w:rPr>
      </w:pPr>
    </w:p>
    <w:p>
      <w:pPr>
        <w:ind w:firstLine="562" w:firstLineChars="200"/>
        <w:outlineLvl w:val="0"/>
        <w:rPr>
          <w:rFonts w:ascii="仿宋" w:hAnsi="仿宋" w:eastAsia="仿宋" w:cs="仿宋"/>
          <w:b/>
          <w:color w:val="auto"/>
          <w:sz w:val="28"/>
          <w:szCs w:val="28"/>
          <w:highlight w:val="none"/>
        </w:rPr>
      </w:pPr>
      <w:bookmarkStart w:id="18" w:name="_Toc89024486"/>
      <w:r>
        <w:rPr>
          <w:rFonts w:hint="eastAsia" w:ascii="仿宋" w:hAnsi="仿宋" w:eastAsia="仿宋" w:cs="仿宋"/>
          <w:b/>
          <w:color w:val="auto"/>
          <w:sz w:val="28"/>
          <w:szCs w:val="28"/>
          <w:highlight w:val="none"/>
        </w:rPr>
        <w:t>四、项目绩效评价指标体系及得分情况</w:t>
      </w:r>
      <w:bookmarkEnd w:id="18"/>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价工作小组按照相关性、重要性、可比性、系统性及经济性原则，从投入、过程、产出、效果等四个方面设计指标体系，共设置“项目立项”、“绩效目标”、“资金投入”、“资金管理”、“组织实施”、“产出质量”、“产出数量”、“产出时效”、“经济效益”、“社会效益”、“生态效益”、“可持续效益”、“服务对象满意度”等13个二级指标和“立项依据充分性”、“立项程序规范性”、“绩效目标合理性”等30个三级指标。各项指标内容及得分情况详见表3：</w:t>
      </w:r>
    </w:p>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表6 泉州市洛江区2020年度松材线虫病综合防控专项资金绩效评价指标得分表</w:t>
      </w:r>
    </w:p>
    <w:tbl>
      <w:tblPr>
        <w:tblStyle w:val="14"/>
        <w:tblW w:w="9311" w:type="dxa"/>
        <w:tblInd w:w="-110" w:type="dxa"/>
        <w:tblLayout w:type="fixed"/>
        <w:tblCellMar>
          <w:top w:w="0" w:type="dxa"/>
          <w:left w:w="108" w:type="dxa"/>
          <w:bottom w:w="0" w:type="dxa"/>
          <w:right w:w="108" w:type="dxa"/>
        </w:tblCellMar>
      </w:tblPr>
      <w:tblGrid>
        <w:gridCol w:w="756"/>
        <w:gridCol w:w="911"/>
        <w:gridCol w:w="1267"/>
        <w:gridCol w:w="4911"/>
        <w:gridCol w:w="755"/>
        <w:gridCol w:w="711"/>
      </w:tblGrid>
      <w:tr>
        <w:tblPrEx>
          <w:tblCellMar>
            <w:top w:w="0" w:type="dxa"/>
            <w:left w:w="108" w:type="dxa"/>
            <w:bottom w:w="0" w:type="dxa"/>
            <w:right w:w="108" w:type="dxa"/>
          </w:tblCellMar>
        </w:tblPrEx>
        <w:trPr>
          <w:trHeight w:val="591"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一级</w:t>
            </w:r>
          </w:p>
          <w:p>
            <w:pPr>
              <w:widowControl/>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指标</w:t>
            </w:r>
          </w:p>
        </w:tc>
        <w:tc>
          <w:tcPr>
            <w:tcW w:w="911"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二级指标</w:t>
            </w:r>
          </w:p>
        </w:tc>
        <w:tc>
          <w:tcPr>
            <w:tcW w:w="126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三级指标</w:t>
            </w:r>
          </w:p>
        </w:tc>
        <w:tc>
          <w:tcPr>
            <w:tcW w:w="4911"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指标解释</w:t>
            </w:r>
          </w:p>
        </w:tc>
        <w:tc>
          <w:tcPr>
            <w:tcW w:w="75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分值</w:t>
            </w:r>
          </w:p>
        </w:tc>
        <w:tc>
          <w:tcPr>
            <w:tcW w:w="711"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评价得分</w:t>
            </w:r>
          </w:p>
        </w:tc>
      </w:tr>
      <w:tr>
        <w:tblPrEx>
          <w:tblCellMar>
            <w:top w:w="0" w:type="dxa"/>
            <w:left w:w="108" w:type="dxa"/>
            <w:bottom w:w="0" w:type="dxa"/>
            <w:right w:w="108" w:type="dxa"/>
          </w:tblCellMar>
        </w:tblPrEx>
        <w:trPr>
          <w:trHeight w:val="879" w:hRule="atLeast"/>
        </w:trPr>
        <w:tc>
          <w:tcPr>
            <w:tcW w:w="75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决策</w:t>
            </w:r>
          </w:p>
        </w:tc>
        <w:tc>
          <w:tcPr>
            <w:tcW w:w="911"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项目立项</w:t>
            </w: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立项依据充分性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项目立项是否符合法律法规、相关政策、发展规划以及部门职责，是否与相关部门或本部门相关项目重复。无依据的，本项不得分，存在其他不规范问题的，每项扣1-2分。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1167"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立项程序规范性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项目申请、设立过程是否符合相关要求，是否按规定程序申请、审批，是否经过必要的可行性研究、专家论证、风险评估、集体决策等。而未办理立项程序的，不得分。立项程序不规范的，每项扣1分。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475"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绩效目标</w:t>
            </w: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绩效目标合理性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绩效目标设定依据是否充分，是否与项目实际内容密切相关、是否与所投入资金量相匹配、是否符合正常的预期业绩水平、是否体现一定的挑战性。不满足合理性上述要求的，每项目标扣0.5-1分。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591"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绩效指标明确性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绩效指标是否清晰、细化、可衡量，是否与目标任务数和计划数相对应。不满足明确性要求的，每项指标扣0.5-1分。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1167"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资金投入</w:t>
            </w: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预算编制科学性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预算编制是否经过科学论证，预算内容是否与项目内容相匹配，预算额度测算依据是否充分、是否符合相关标准，预算资金量是否与项目工作任务相匹配。不满足编制要求的，每项扣1分。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879"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资金分配合理性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资金分配是否有充分测算依据，分配额度是否与地方实际相适应，资金分配是否具备公平性。分配不合理的，每扣1-2分。存在明显不合理且影响较大的，本项不得分。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bottom"/>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bottom"/>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591" w:hRule="atLeast"/>
        </w:trPr>
        <w:tc>
          <w:tcPr>
            <w:tcW w:w="75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过程</w:t>
            </w:r>
          </w:p>
        </w:tc>
        <w:tc>
          <w:tcPr>
            <w:tcW w:w="911"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资金管理</w:t>
            </w: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资金到位率</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实际到位资金与预算资金的比率。到位率100%的，不扣分，偏离每5%扣1分。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879"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预算执行率</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实际支出资金与实际到位资金的比率。执行率100%的不扣分，偏离每超过5%，扣1分，不足5%的，扣0.5分。本项得分扣完为止。</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3.5</w:t>
            </w:r>
          </w:p>
        </w:tc>
      </w:tr>
      <w:tr>
        <w:tblPrEx>
          <w:tblCellMar>
            <w:top w:w="0" w:type="dxa"/>
            <w:left w:w="108" w:type="dxa"/>
            <w:bottom w:w="0" w:type="dxa"/>
            <w:right w:w="108" w:type="dxa"/>
          </w:tblCellMar>
        </w:tblPrEx>
        <w:trPr>
          <w:trHeight w:val="591"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资金使用合规性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资金使用是否符合相关的财务管理制度规定。如有违规、超范围等支出，本项不得分。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1167"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组织实施</w:t>
            </w: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管理制度健全性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是否制定了用以规范项目实施的财务和业务管理制度，制度是否健全，并符合法律、法规及上级有关规定，能否有效指导项目实施。未制定的，本项不得分，不健全的扣2分，存在违规或不具备有效指导意义的，扣1-2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1743"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制度执行有效性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实施是否符合相关法律法规及管理制度规定，是否按有关文件及制度要求对项目实施全过程进行管理，包括对下级单位、项目实施单位的监管等，项目调整及支出调整手续是否完备，项目资料是否及时归档。有违反法律法规行为的，本项不得分。有违反管理制度或手续不完备、未及时归档的情况的，每一项，扣1-2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CellMar>
            <w:top w:w="0" w:type="dxa"/>
            <w:left w:w="108" w:type="dxa"/>
            <w:bottom w:w="0" w:type="dxa"/>
            <w:right w:w="108" w:type="dxa"/>
          </w:tblCellMar>
        </w:tblPrEx>
        <w:trPr>
          <w:trHeight w:val="1167"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人员保障充足性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Style w:val="25"/>
                <w:rFonts w:hint="default" w:ascii="仿宋" w:hAnsi="仿宋" w:eastAsia="仿宋" w:cs="仿宋"/>
                <w:color w:val="auto"/>
                <w:sz w:val="24"/>
                <w:szCs w:val="24"/>
                <w:highlight w:val="none"/>
              </w:rPr>
              <w:t>项目实施单位、管理单位投入的人员数量、素质等方面是否满足项目实施的要求，能保证项目实施效果。项目实施实际投入人数占项目需要人数的比例低于</w:t>
            </w:r>
            <w:r>
              <w:rPr>
                <w:rStyle w:val="26"/>
                <w:rFonts w:hint="eastAsia" w:ascii="仿宋" w:hAnsi="仿宋" w:eastAsia="仿宋" w:cs="仿宋"/>
                <w:color w:val="auto"/>
                <w:sz w:val="24"/>
                <w:szCs w:val="24"/>
                <w:highlight w:val="none"/>
              </w:rPr>
              <w:t>100%</w:t>
            </w:r>
            <w:r>
              <w:rPr>
                <w:rStyle w:val="25"/>
                <w:rFonts w:hint="default" w:ascii="仿宋" w:hAnsi="仿宋" w:eastAsia="仿宋" w:cs="仿宋"/>
                <w:color w:val="auto"/>
                <w:sz w:val="24"/>
                <w:szCs w:val="24"/>
                <w:highlight w:val="none"/>
              </w:rPr>
              <w:t>的，每</w:t>
            </w:r>
            <w:r>
              <w:rPr>
                <w:rStyle w:val="26"/>
                <w:rFonts w:hint="eastAsia" w:ascii="仿宋" w:hAnsi="仿宋" w:eastAsia="仿宋" w:cs="仿宋"/>
                <w:color w:val="auto"/>
                <w:sz w:val="24"/>
                <w:szCs w:val="24"/>
                <w:highlight w:val="none"/>
              </w:rPr>
              <w:t>10%</w:t>
            </w:r>
            <w:r>
              <w:rPr>
                <w:rStyle w:val="25"/>
                <w:rFonts w:hint="default" w:ascii="仿宋" w:hAnsi="仿宋" w:eastAsia="仿宋" w:cs="仿宋"/>
                <w:color w:val="auto"/>
                <w:sz w:val="24"/>
                <w:szCs w:val="24"/>
                <w:highlight w:val="none"/>
              </w:rPr>
              <w:t>扣</w:t>
            </w:r>
            <w:r>
              <w:rPr>
                <w:rStyle w:val="26"/>
                <w:rFonts w:hint="eastAsia" w:ascii="仿宋" w:hAnsi="仿宋" w:eastAsia="仿宋" w:cs="仿宋"/>
                <w:color w:val="auto"/>
                <w:sz w:val="24"/>
                <w:szCs w:val="24"/>
                <w:highlight w:val="none"/>
              </w:rPr>
              <w:t>1</w:t>
            </w:r>
            <w:r>
              <w:rPr>
                <w:rStyle w:val="25"/>
                <w:rFonts w:hint="default" w:ascii="仿宋" w:hAnsi="仿宋" w:eastAsia="仿宋" w:cs="仿宋"/>
                <w:color w:val="auto"/>
                <w:sz w:val="24"/>
                <w:szCs w:val="24"/>
                <w:highlight w:val="none"/>
              </w:rPr>
              <w:t>分，不足</w:t>
            </w:r>
            <w:r>
              <w:rPr>
                <w:rStyle w:val="26"/>
                <w:rFonts w:hint="eastAsia" w:ascii="仿宋" w:hAnsi="仿宋" w:eastAsia="仿宋" w:cs="仿宋"/>
                <w:color w:val="auto"/>
                <w:sz w:val="24"/>
                <w:szCs w:val="24"/>
                <w:highlight w:val="none"/>
              </w:rPr>
              <w:t>10%</w:t>
            </w:r>
            <w:r>
              <w:rPr>
                <w:rStyle w:val="25"/>
                <w:rFonts w:hint="default" w:ascii="仿宋" w:hAnsi="仿宋" w:eastAsia="仿宋" w:cs="仿宋"/>
                <w:color w:val="auto"/>
                <w:sz w:val="24"/>
                <w:szCs w:val="24"/>
                <w:highlight w:val="none"/>
              </w:rPr>
              <w:t>的，视同</w:t>
            </w:r>
            <w:r>
              <w:rPr>
                <w:rStyle w:val="26"/>
                <w:rFonts w:hint="eastAsia" w:ascii="仿宋" w:hAnsi="仿宋" w:eastAsia="仿宋" w:cs="仿宋"/>
                <w:color w:val="auto"/>
                <w:sz w:val="24"/>
                <w:szCs w:val="24"/>
                <w:highlight w:val="none"/>
              </w:rPr>
              <w:t>10%</w:t>
            </w:r>
            <w:r>
              <w:rPr>
                <w:rStyle w:val="25"/>
                <w:rFonts w:hint="default" w:ascii="仿宋" w:hAnsi="仿宋" w:eastAsia="仿宋" w:cs="仿宋"/>
                <w:color w:val="auto"/>
                <w:sz w:val="24"/>
                <w:szCs w:val="24"/>
                <w:highlight w:val="none"/>
              </w:rPr>
              <w:t>，本项得分扣完为止。</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tblPrEx>
          <w:tblCellMar>
            <w:top w:w="0" w:type="dxa"/>
            <w:left w:w="108" w:type="dxa"/>
            <w:bottom w:w="0" w:type="dxa"/>
            <w:right w:w="108" w:type="dxa"/>
          </w:tblCellMar>
        </w:tblPrEx>
        <w:trPr>
          <w:trHeight w:val="1167" w:hRule="atLeast"/>
        </w:trPr>
        <w:tc>
          <w:tcPr>
            <w:tcW w:w="7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911" w:type="dxa"/>
            <w:vMerge w:val="continue"/>
            <w:tcBorders>
              <w:top w:val="nil"/>
              <w:left w:val="nil"/>
              <w:bottom w:val="single" w:color="000000" w:sz="8" w:space="0"/>
              <w:right w:val="single" w:color="000000" w:sz="8"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机构保障充分性</w:t>
            </w:r>
          </w:p>
        </w:tc>
        <w:tc>
          <w:tcPr>
            <w:tcW w:w="4911" w:type="dxa"/>
            <w:tcBorders>
              <w:top w:val="nil"/>
              <w:left w:val="nil"/>
              <w:bottom w:val="single" w:color="000000" w:sz="8" w:space="0"/>
              <w:right w:val="single" w:color="000000" w:sz="8"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Style w:val="25"/>
                <w:rFonts w:hint="default" w:ascii="仿宋" w:hAnsi="仿宋" w:eastAsia="仿宋" w:cs="仿宋"/>
                <w:color w:val="auto"/>
                <w:sz w:val="24"/>
                <w:szCs w:val="24"/>
                <w:highlight w:val="none"/>
              </w:rPr>
              <w:t>是否成立了项目实施管理的机构或组织，或安排了适当的科室负责，决策机构、执行机构、监督机构、应急机构齐全，分工合理。机构不健全的，扣</w:t>
            </w:r>
            <w:r>
              <w:rPr>
                <w:rStyle w:val="26"/>
                <w:rFonts w:hint="eastAsia" w:ascii="仿宋" w:hAnsi="仿宋" w:eastAsia="仿宋" w:cs="仿宋"/>
                <w:color w:val="auto"/>
                <w:sz w:val="24"/>
                <w:szCs w:val="24"/>
                <w:highlight w:val="none"/>
              </w:rPr>
              <w:t>1</w:t>
            </w:r>
            <w:r>
              <w:rPr>
                <w:rStyle w:val="25"/>
                <w:rFonts w:hint="default" w:ascii="仿宋" w:hAnsi="仿宋" w:eastAsia="仿宋" w:cs="仿宋"/>
                <w:color w:val="auto"/>
                <w:sz w:val="24"/>
                <w:szCs w:val="24"/>
                <w:highlight w:val="none"/>
              </w:rPr>
              <w:t>分，未项目实施机构的，不得分。</w:t>
            </w:r>
          </w:p>
        </w:tc>
        <w:tc>
          <w:tcPr>
            <w:tcW w:w="75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c>
          <w:tcPr>
            <w:tcW w:w="711"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tblPrEx>
          <w:tblCellMar>
            <w:top w:w="0" w:type="dxa"/>
            <w:left w:w="108" w:type="dxa"/>
            <w:bottom w:w="0" w:type="dxa"/>
            <w:right w:w="108" w:type="dxa"/>
          </w:tblCellMar>
        </w:tblPrEx>
        <w:trPr>
          <w:trHeight w:val="1032" w:hRule="atLeast"/>
        </w:trPr>
        <w:tc>
          <w:tcPr>
            <w:tcW w:w="756" w:type="dxa"/>
            <w:vMerge w:val="restart"/>
            <w:tcBorders>
              <w:top w:val="single" w:color="000000" w:sz="4" w:space="0"/>
              <w:left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Style w:val="27"/>
                <w:rFonts w:hint="default" w:ascii="仿宋" w:hAnsi="仿宋" w:eastAsia="仿宋" w:cs="仿宋"/>
                <w:b/>
                <w:bCs/>
                <w:color w:val="auto"/>
                <w:sz w:val="24"/>
                <w:szCs w:val="24"/>
                <w:highlight w:val="none"/>
              </w:rPr>
              <w:t>产出</w:t>
            </w:r>
            <w:r>
              <w:rPr>
                <w:rFonts w:hint="eastAsia" w:ascii="仿宋" w:hAnsi="仿宋" w:eastAsia="仿宋" w:cs="仿宋"/>
                <w:color w:val="auto"/>
                <w:kern w:val="0"/>
                <w:sz w:val="24"/>
                <w:szCs w:val="24"/>
                <w:highlight w:val="none"/>
              </w:rPr>
              <w:t xml:space="preserve"> </w:t>
            </w:r>
          </w:p>
        </w:tc>
        <w:tc>
          <w:tcPr>
            <w:tcW w:w="91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产出数量</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松材线虫病松林监测覆盖率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2020年要求对洛江区21.5万亩松林全面普查，监测覆盖率每少5%，扣1分，不足5%的，按照5%计算</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864"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枯死松树清理和疫木除害完成率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枯死松树清理和疫木除害完成率要求达到100%。每少5%，扣1分，不足5%的，按5%计算。</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864"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媒介松墨天牛防治率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松墨天牛主要发生区防治率要求达100%,每少5%，扣1分，不足5%的，按5%计算。</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576"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产出质量</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松枯死木数量下降率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松枯死木数量较2019年降低30%，每减少5%，扣1分，不足5%的，按5%计算。</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864"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松枯死木分布面积减少率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松枯死木分布面积较2019年下降10%，每减少5%，</w:t>
            </w:r>
            <w:r>
              <w:rPr>
                <w:rFonts w:hint="eastAsia" w:ascii="仿宋" w:hAnsi="仿宋" w:eastAsia="仿宋" w:cs="仿宋"/>
                <w:color w:val="auto"/>
                <w:kern w:val="0"/>
                <w:sz w:val="24"/>
                <w:szCs w:val="24"/>
                <w:highlight w:val="none"/>
              </w:rPr>
              <w:t>扣1分，不足5%的，按5%计算。</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CellMar>
            <w:top w:w="0" w:type="dxa"/>
            <w:left w:w="108" w:type="dxa"/>
            <w:bottom w:w="0" w:type="dxa"/>
            <w:right w:w="108" w:type="dxa"/>
          </w:tblCellMar>
        </w:tblPrEx>
        <w:trPr>
          <w:trHeight w:val="864"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松材线虫病疫情发生面积保持率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基于2019年数据，2020年松材线虫病</w:t>
            </w:r>
            <w:r>
              <w:rPr>
                <w:rFonts w:hint="eastAsia" w:ascii="仿宋" w:hAnsi="仿宋" w:eastAsia="仿宋" w:cs="仿宋"/>
                <w:color w:val="auto"/>
                <w:sz w:val="24"/>
                <w:szCs w:val="24"/>
                <w:highlight w:val="none"/>
              </w:rPr>
              <w:t>疫点数量、疫情面积要求做到两个不增加，每增加一个疫点扣1分，增加疫情面积扣1分。</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tblPrEx>
          <w:tblCellMar>
            <w:top w:w="0" w:type="dxa"/>
            <w:left w:w="108" w:type="dxa"/>
            <w:bottom w:w="0" w:type="dxa"/>
            <w:right w:w="108" w:type="dxa"/>
          </w:tblCellMar>
        </w:tblPrEx>
        <w:trPr>
          <w:trHeight w:val="864"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各疫情防控区验收合格率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各疫情防控区以实施方案为标准，符合标准验收合格，要求验收合格率为90%，</w:t>
            </w:r>
            <w:r>
              <w:rPr>
                <w:rFonts w:hint="eastAsia" w:ascii="仿宋" w:hAnsi="仿宋" w:eastAsia="仿宋" w:cs="仿宋"/>
                <w:color w:val="auto"/>
                <w:sz w:val="24"/>
                <w:szCs w:val="24"/>
                <w:highlight w:val="none"/>
              </w:rPr>
              <w:t>每减少5%，</w:t>
            </w:r>
            <w:r>
              <w:rPr>
                <w:rFonts w:hint="eastAsia" w:ascii="仿宋" w:hAnsi="仿宋" w:eastAsia="仿宋" w:cs="仿宋"/>
                <w:color w:val="auto"/>
                <w:kern w:val="0"/>
                <w:sz w:val="24"/>
                <w:szCs w:val="24"/>
                <w:highlight w:val="none"/>
              </w:rPr>
              <w:t>扣1分，不足5%的，扣0.5分。</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tblPrEx>
          <w:tblCellMar>
            <w:top w:w="0" w:type="dxa"/>
            <w:left w:w="108" w:type="dxa"/>
            <w:bottom w:w="0" w:type="dxa"/>
            <w:right w:w="108" w:type="dxa"/>
          </w:tblCellMar>
        </w:tblPrEx>
        <w:trPr>
          <w:trHeight w:val="1152"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产出时效</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监管各疫情防控区支付防治资金及时性</w:t>
            </w:r>
          </w:p>
        </w:tc>
        <w:tc>
          <w:tcPr>
            <w:tcW w:w="491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主管部门对各疫情防控区按照各自招标合同时间支付防治资金进行监管，未按照合同要求支付的，一个乡镇扣0.5分。</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tblPrEx>
          <w:tblCellMar>
            <w:top w:w="0" w:type="dxa"/>
            <w:left w:w="108" w:type="dxa"/>
            <w:bottom w:w="0" w:type="dxa"/>
            <w:right w:w="108" w:type="dxa"/>
          </w:tblCellMar>
        </w:tblPrEx>
        <w:trPr>
          <w:trHeight w:val="864" w:hRule="atLeast"/>
        </w:trPr>
        <w:tc>
          <w:tcPr>
            <w:tcW w:w="756" w:type="dxa"/>
            <w:vMerge w:val="continue"/>
            <w:tcBorders>
              <w:left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防治药剂药械采购到位及时率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按照招标合同要求防治药剂药械采购到位及时率要求达到100%，得满分，否则在规定的时间内</w:t>
            </w:r>
            <w:r>
              <w:rPr>
                <w:rFonts w:hint="eastAsia" w:ascii="仿宋" w:hAnsi="仿宋" w:eastAsia="仿宋" w:cs="仿宋"/>
                <w:color w:val="auto"/>
                <w:kern w:val="0"/>
                <w:sz w:val="24"/>
                <w:szCs w:val="24"/>
                <w:highlight w:val="none"/>
              </w:rPr>
              <w:t>防治药剂药械采购到位量占应该到位量的百分比计分。</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tblPrEx>
          <w:tblCellMar>
            <w:top w:w="0" w:type="dxa"/>
            <w:left w:w="108" w:type="dxa"/>
            <w:bottom w:w="0" w:type="dxa"/>
            <w:right w:w="108" w:type="dxa"/>
          </w:tblCellMar>
        </w:tblPrEx>
        <w:trPr>
          <w:trHeight w:val="864" w:hRule="atLeast"/>
        </w:trPr>
        <w:tc>
          <w:tcPr>
            <w:tcW w:w="756" w:type="dxa"/>
            <w:vMerge w:val="continue"/>
            <w:tcBorders>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枯死松树除害及时性</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于2020年内枯死松树除害全部合格完成为满分，超过2020年，根据实际情况斟酌扣分。</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tblPrEx>
          <w:tblCellMar>
            <w:top w:w="0" w:type="dxa"/>
            <w:left w:w="108" w:type="dxa"/>
            <w:bottom w:w="0" w:type="dxa"/>
            <w:right w:w="108" w:type="dxa"/>
          </w:tblCellMar>
        </w:tblPrEx>
        <w:trPr>
          <w:trHeight w:val="864"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效益</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经济效益</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2021年防控疫情资金下降率</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2021年预算防控资金，相较于2020年防控资金，下降率5%，每减少1%，扣1分，不足1%，按1%计算。</w:t>
            </w:r>
            <w:r>
              <w:rPr>
                <w:rFonts w:hint="eastAsia" w:ascii="仿宋" w:hAnsi="仿宋" w:eastAsia="仿宋" w:cs="仿宋"/>
                <w:color w:val="auto"/>
                <w:sz w:val="24"/>
                <w:szCs w:val="24"/>
                <w:highlight w:val="none"/>
              </w:rPr>
              <w:t xml:space="preserve">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11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社会效益</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枯死松树除害</w:t>
            </w:r>
            <w:r>
              <w:rPr>
                <w:rFonts w:hint="eastAsia" w:ascii="仿宋" w:hAnsi="仿宋" w:eastAsia="仿宋" w:cs="仿宋"/>
                <w:color w:val="auto"/>
                <w:kern w:val="0"/>
                <w:sz w:val="24"/>
                <w:szCs w:val="24"/>
                <w:highlight w:val="none"/>
              </w:rPr>
              <w:t>能力提升</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枯死松树清理质量合格率100%，未达到100%,每减少5%，</w:t>
            </w:r>
            <w:r>
              <w:rPr>
                <w:rFonts w:hint="eastAsia" w:ascii="仿宋" w:hAnsi="仿宋" w:eastAsia="仿宋" w:cs="仿宋"/>
                <w:color w:val="auto"/>
                <w:kern w:val="0"/>
                <w:sz w:val="24"/>
                <w:szCs w:val="24"/>
                <w:highlight w:val="none"/>
              </w:rPr>
              <w:t>扣1分，不足5%的，按5%计算。</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CellMar>
            <w:top w:w="0" w:type="dxa"/>
            <w:left w:w="108" w:type="dxa"/>
            <w:bottom w:w="0" w:type="dxa"/>
            <w:right w:w="108" w:type="dxa"/>
          </w:tblCellMar>
        </w:tblPrEx>
        <w:trPr>
          <w:trHeight w:val="11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无松材线虫病疫情乡镇持续性</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已经治理后无</w:t>
            </w:r>
            <w:r>
              <w:rPr>
                <w:rFonts w:hint="eastAsia" w:ascii="仿宋" w:hAnsi="仿宋" w:eastAsia="仿宋" w:cs="仿宋"/>
                <w:color w:val="auto"/>
                <w:kern w:val="0"/>
                <w:sz w:val="24"/>
                <w:szCs w:val="24"/>
                <w:highlight w:val="none"/>
              </w:rPr>
              <w:t>松材线虫病疫情乡镇，截止今年年底不反复且有完善措施保证不再发生疫情，得满分，否则不得分。</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r>
      <w:tr>
        <w:tblPrEx>
          <w:tblCellMar>
            <w:top w:w="0" w:type="dxa"/>
            <w:left w:w="108" w:type="dxa"/>
            <w:bottom w:w="0" w:type="dxa"/>
            <w:right w:w="108" w:type="dxa"/>
          </w:tblCellMar>
        </w:tblPrEx>
        <w:trPr>
          <w:trHeight w:val="864"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生态效益</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山地绿化和生态环境改善情况</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2020年秋季普查，洛江区21.5万亩松林没有枯死没处理情况，得满分;若存在枯死松木没有处理，每5棵扣1分，直至扣完为止。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864"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无松材线虫病疫情防治对环境无污染</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对松墨天牛虫林采用生物防治、无公害防治等措施，不污染环境，得满分，污染环境不得分。</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r>
      <w:tr>
        <w:tblPrEx>
          <w:tblCellMar>
            <w:top w:w="0" w:type="dxa"/>
            <w:left w:w="108" w:type="dxa"/>
            <w:bottom w:w="0" w:type="dxa"/>
            <w:right w:w="108" w:type="dxa"/>
          </w:tblCellMar>
        </w:tblPrEx>
        <w:trPr>
          <w:trHeight w:val="11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可持续效益</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松材线虫病防控知识的宣传力度提高</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群众对松材线虫病防控知识的知情情况，按知情群众人数占总人数的百分比确定分数。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CellMar>
            <w:top w:w="0" w:type="dxa"/>
            <w:left w:w="108" w:type="dxa"/>
            <w:bottom w:w="0" w:type="dxa"/>
            <w:right w:w="108" w:type="dxa"/>
          </w:tblCellMar>
        </w:tblPrEx>
        <w:trPr>
          <w:trHeight w:val="11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4"/>
                <w:szCs w:val="24"/>
                <w:highlight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服务对象满意度</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服务对象满意度</w:t>
            </w:r>
          </w:p>
        </w:tc>
        <w:tc>
          <w:tcPr>
            <w:tcW w:w="4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未收到松材线虫病防控的相关投诉，得满分，每收投诉到1例扣0.5分，直至扣完为止。</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7</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r>
      <w:tr>
        <w:tblPrEx>
          <w:tblCellMar>
            <w:top w:w="0" w:type="dxa"/>
            <w:left w:w="108" w:type="dxa"/>
            <w:bottom w:w="0" w:type="dxa"/>
            <w:right w:w="108" w:type="dxa"/>
          </w:tblCellMar>
        </w:tblPrEx>
        <w:trPr>
          <w:trHeight w:val="288" w:hRule="atLeast"/>
        </w:trPr>
        <w:tc>
          <w:tcPr>
            <w:tcW w:w="78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合计</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100</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94.5</w:t>
            </w:r>
          </w:p>
        </w:tc>
      </w:tr>
    </w:tbl>
    <w:p>
      <w:pPr>
        <w:rPr>
          <w:rFonts w:ascii="仿宋" w:hAnsi="仿宋" w:eastAsia="仿宋" w:cs="仿宋"/>
          <w:color w:val="auto"/>
          <w:sz w:val="28"/>
          <w:szCs w:val="28"/>
          <w:highlight w:val="none"/>
        </w:rPr>
      </w:pPr>
    </w:p>
    <w:p>
      <w:pPr>
        <w:pStyle w:val="3"/>
        <w:spacing w:before="0" w:after="0" w:line="600" w:lineRule="exact"/>
        <w:ind w:firstLine="562" w:firstLineChars="200"/>
        <w:rPr>
          <w:rFonts w:ascii="仿宋" w:hAnsi="仿宋" w:eastAsia="仿宋" w:cs="仿宋"/>
          <w:bCs w:val="0"/>
          <w:color w:val="auto"/>
          <w:sz w:val="28"/>
          <w:szCs w:val="28"/>
          <w:highlight w:val="none"/>
        </w:rPr>
      </w:pPr>
      <w:bookmarkStart w:id="19" w:name="_Toc89024487"/>
      <w:r>
        <w:rPr>
          <w:rFonts w:hint="eastAsia" w:ascii="仿宋" w:hAnsi="仿宋" w:eastAsia="仿宋" w:cs="仿宋"/>
          <w:bCs w:val="0"/>
          <w:color w:val="auto"/>
          <w:sz w:val="28"/>
          <w:szCs w:val="28"/>
          <w:highlight w:val="none"/>
        </w:rPr>
        <w:t>五、绩效评价分析</w:t>
      </w:r>
      <w:bookmarkEnd w:id="19"/>
    </w:p>
    <w:p>
      <w:pPr>
        <w:pStyle w:val="3"/>
        <w:spacing w:before="0" w:after="0" w:line="240" w:lineRule="auto"/>
        <w:ind w:firstLine="562" w:firstLineChars="200"/>
        <w:rPr>
          <w:rFonts w:ascii="仿宋" w:hAnsi="仿宋" w:eastAsia="仿宋" w:cs="仿宋"/>
          <w:bCs w:val="0"/>
          <w:color w:val="auto"/>
          <w:sz w:val="28"/>
          <w:szCs w:val="28"/>
          <w:highlight w:val="none"/>
        </w:rPr>
      </w:pPr>
      <w:bookmarkStart w:id="20" w:name="_Toc89024488"/>
      <w:r>
        <w:rPr>
          <w:rFonts w:hint="eastAsia" w:ascii="仿宋" w:hAnsi="仿宋" w:eastAsia="仿宋" w:cs="仿宋"/>
          <w:bCs w:val="0"/>
          <w:color w:val="auto"/>
          <w:sz w:val="28"/>
          <w:szCs w:val="28"/>
          <w:highlight w:val="none"/>
        </w:rPr>
        <w:t>（一）主要扣分事项及原因分析</w:t>
      </w:r>
      <w:bookmarkEnd w:id="20"/>
    </w:p>
    <w:p>
      <w:pPr>
        <w:spacing w:line="360" w:lineRule="auto"/>
        <w:ind w:firstLine="560" w:firstLineChars="200"/>
        <w:outlineLvl w:val="2"/>
        <w:rPr>
          <w:rFonts w:ascii="仿宋" w:hAnsi="仿宋" w:eastAsia="仿宋" w:cs="仿宋"/>
          <w:color w:val="auto"/>
          <w:sz w:val="28"/>
          <w:szCs w:val="28"/>
          <w:highlight w:val="none"/>
        </w:rPr>
      </w:pPr>
      <w:bookmarkStart w:id="21" w:name="_Toc89024255"/>
      <w:bookmarkStart w:id="22" w:name="_Toc89024489"/>
      <w:bookmarkStart w:id="23" w:name="_Toc15634"/>
      <w:bookmarkStart w:id="24" w:name="_Toc3491"/>
      <w:r>
        <w:rPr>
          <w:rFonts w:hint="eastAsia" w:ascii="仿宋" w:hAnsi="仿宋" w:eastAsia="仿宋" w:cs="仿宋"/>
          <w:color w:val="auto"/>
          <w:sz w:val="28"/>
          <w:szCs w:val="28"/>
          <w:highlight w:val="none"/>
        </w:rPr>
        <w:t>1.决策和过程指标分值共40分，评价得分38.5分，扣1.5分。主要扣分事项如下：</w:t>
      </w:r>
      <w:bookmarkEnd w:id="21"/>
      <w:bookmarkEnd w:id="22"/>
      <w:bookmarkEnd w:id="23"/>
      <w:bookmarkEnd w:id="24"/>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（1）预算执行率方面。2020年度区财政局下拨松材线虫病综合防控专项资金438.187万元，实际支出436.94万元，2020年当年结余1.247万元，扣0.5分。</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（2）制度执行有效性方面。按照</w:t>
      </w:r>
      <w:r>
        <w:rPr>
          <w:rFonts w:hint="eastAsia" w:ascii="仿宋" w:hAnsi="仿宋" w:eastAsia="仿宋" w:cs="仿宋"/>
          <w:color w:val="auto"/>
          <w:sz w:val="28"/>
          <w:szCs w:val="28"/>
          <w:highlight w:val="none"/>
          <w:lang w:eastAsia="zh-CN"/>
        </w:rPr>
        <w:t>洛江区</w:t>
      </w:r>
      <w:r>
        <w:rPr>
          <w:rFonts w:hint="eastAsia" w:ascii="仿宋" w:hAnsi="仿宋" w:eastAsia="仿宋" w:cs="仿宋"/>
          <w:color w:val="auto"/>
          <w:sz w:val="28"/>
          <w:szCs w:val="28"/>
          <w:highlight w:val="none"/>
        </w:rPr>
        <w:t>松材线虫病综合防控项目规定，由福建省林业勘察设计院对各疫情的防控区域进行上下半年监理，并出具监理报告。在对资料审核过程中，发现个别监理报告中出现内容前后不一致的错误，没有及时修改，扣1分。</w:t>
      </w:r>
    </w:p>
    <w:p>
      <w:pPr>
        <w:spacing w:line="360" w:lineRule="auto"/>
        <w:ind w:firstLine="560" w:firstLineChars="200"/>
        <w:outlineLvl w:val="2"/>
        <w:rPr>
          <w:rFonts w:ascii="仿宋" w:hAnsi="仿宋" w:eastAsia="仿宋" w:cs="仿宋"/>
          <w:color w:val="auto"/>
          <w:sz w:val="28"/>
          <w:szCs w:val="28"/>
          <w:highlight w:val="none"/>
        </w:rPr>
      </w:pPr>
      <w:bookmarkStart w:id="25" w:name="_Toc89024490"/>
      <w:bookmarkStart w:id="26" w:name="_Toc25665"/>
      <w:bookmarkStart w:id="27" w:name="_Toc89024256"/>
      <w:bookmarkStart w:id="28" w:name="_Toc26222"/>
      <w:r>
        <w:rPr>
          <w:rFonts w:hint="eastAsia" w:ascii="仿宋" w:hAnsi="仿宋" w:eastAsia="仿宋" w:cs="仿宋"/>
          <w:color w:val="auto"/>
          <w:sz w:val="28"/>
          <w:szCs w:val="28"/>
          <w:highlight w:val="none"/>
        </w:rPr>
        <w:t>2.产出和效益指标分值共60分，评价得分56分，扣 4 分。主要扣分事项如下：</w:t>
      </w:r>
      <w:bookmarkEnd w:id="25"/>
      <w:bookmarkEnd w:id="26"/>
      <w:bookmarkEnd w:id="27"/>
      <w:bookmarkEnd w:id="28"/>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（1）松枯死木数量下降率方面。根据</w:t>
      </w:r>
      <w:r>
        <w:rPr>
          <w:rFonts w:hint="eastAsia" w:ascii="仿宋" w:hAnsi="仿宋" w:eastAsia="仿宋" w:cs="仿宋"/>
          <w:color w:val="auto"/>
          <w:sz w:val="28"/>
          <w:szCs w:val="28"/>
          <w:highlight w:val="none"/>
          <w:lang w:eastAsia="zh-CN"/>
        </w:rPr>
        <w:t>洛江区</w:t>
      </w:r>
      <w:r>
        <w:rPr>
          <w:rFonts w:hint="eastAsia" w:ascii="仿宋" w:hAnsi="仿宋" w:eastAsia="仿宋" w:cs="仿宋"/>
          <w:color w:val="auto"/>
          <w:sz w:val="28"/>
          <w:szCs w:val="28"/>
          <w:highlight w:val="none"/>
        </w:rPr>
        <w:t>自然资源局提供的2020年和2019年秋季普查报告进行松枯死木数量对比，2020年松枯死木数量下降率为28.9%，扣1分。</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（2）松材线虫病疫情发生面积保持率方面。2020年疫情发生乡镇为罗溪镇、河市镇、马甲镇3个比2019年减少1个虹山乡。但2020年松材线虫病发生面积比2019年增加了41.3%，扣1分。</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各疫情防控区支付防治资金及时性的监管到位率方面。根据提供的资金支付凭证，发现罗溪镇未按照与泉州市福美林业有限公司签订的泉州市洛江区2018-2021年度松材线虫病综合防控项目服务合同支付条款支付防控经费，存在拖欠防控经费情况，扣0.5分。</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（4）枯死松树除害及时性。根据</w:t>
      </w:r>
      <w:r>
        <w:rPr>
          <w:rFonts w:hint="eastAsia" w:ascii="仿宋" w:hAnsi="仿宋" w:eastAsia="仿宋" w:cs="仿宋"/>
          <w:color w:val="auto"/>
          <w:sz w:val="28"/>
          <w:szCs w:val="28"/>
          <w:highlight w:val="none"/>
          <w:lang w:eastAsia="zh-CN"/>
        </w:rPr>
        <w:t>洛江区</w:t>
      </w:r>
      <w:r>
        <w:rPr>
          <w:rFonts w:hint="eastAsia" w:ascii="仿宋" w:hAnsi="仿宋" w:eastAsia="仿宋" w:cs="仿宋"/>
          <w:color w:val="auto"/>
          <w:sz w:val="28"/>
          <w:szCs w:val="28"/>
          <w:highlight w:val="none"/>
        </w:rPr>
        <w:t>自然资源局提供的验收报告，少数枯死松树的枝条清理验收不合格的，于2021年上半年整改完毕，验收合格，时间有所滞后，扣0.5分。</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松材线虫病防控知识的宣传力度提高方面。对各乡镇周边群众发放调查问卷，回收159份问卷，62%的群众通过项目公共宣传渠道非常了解松材线虫病防控知识，30%的群众了解一点，8%的群众完全不了解，综合考虑扣1分。</w:t>
      </w:r>
    </w:p>
    <w:p>
      <w:pPr>
        <w:pStyle w:val="3"/>
        <w:spacing w:before="0" w:after="0" w:line="360" w:lineRule="auto"/>
        <w:ind w:firstLine="562" w:firstLineChars="200"/>
        <w:rPr>
          <w:rFonts w:ascii="仿宋" w:hAnsi="仿宋" w:eastAsia="仿宋" w:cs="仿宋"/>
          <w:bCs w:val="0"/>
          <w:color w:val="auto"/>
          <w:sz w:val="28"/>
          <w:szCs w:val="28"/>
          <w:highlight w:val="none"/>
        </w:rPr>
      </w:pPr>
      <w:bookmarkStart w:id="29" w:name="_Toc89024491"/>
      <w:r>
        <w:rPr>
          <w:rFonts w:hint="eastAsia" w:ascii="仿宋" w:hAnsi="仿宋" w:eastAsia="仿宋" w:cs="仿宋"/>
          <w:bCs w:val="0"/>
          <w:color w:val="auto"/>
          <w:sz w:val="28"/>
          <w:szCs w:val="28"/>
          <w:highlight w:val="none"/>
        </w:rPr>
        <w:t>（二）评价结论</w:t>
      </w:r>
      <w:bookmarkEnd w:id="29"/>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泉州市洛江区2020年度松材线虫病综合防控专项资金支出绩效评价从项目决策、过程、产出、效果四个方面进行评价，得分94.5 分，总体评价等级为“优”。从评价结果来看，泉州市洛江区松材线虫病综合防控专项资金涉及的各项工作均得到了落实，泉州市洛江区自然资源局很好发挥了松材线虫病综合防控工作的领导管理职能，各疫情防控区域都基本完成了2020年松材线虫病综合防控工作，对所属区域进行全面检测，完成松枯死木除治、松材线虫病发生区林分改造、松墨天牛综合防治、强化疫木监督管理、开展专项检疫检查等工作，</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并制定了较为完善项目实施计划，项目成果可观，并受到社会多方好评和表彰。虽然项目实施取得了不错的成效，但仍存在以下问题：</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各乡镇林业站完成松材线虫病综合防控工作的进度不一致，部分乡镇验收日期为2021年1月，因此验收出现的少数不合格情况的整改时间具有滞后性。</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2.各乡镇林业站的基层工作人员存在老龄化、专业技术水平低、文化程度低等问题，因此不能完全按照文件要求，形成格式正确统一的验收报告，也会出现一些小错误。</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 松材线虫病综合防控专项资金监管不足。泉州市洛江区自然资源局只能对本环节下拨资金进行管理，将专项资金及时下拨到各乡镇，无法对各乡镇支付防控经费给相应的施工单位进行后续有效监督管理，出现个别单位拖欠施工单位防治费用情况。</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 松材线虫病防控知识的宣传力度不足。项目实施单位未能全面向松材线虫病疫情区域群众普及相关知识，不能充分利用群众的力量，共同做好松材线虫病防控工作。</w:t>
      </w:r>
    </w:p>
    <w:p>
      <w:pPr>
        <w:spacing w:line="360" w:lineRule="auto"/>
        <w:ind w:firstLine="562" w:firstLineChars="200"/>
        <w:rPr>
          <w:rFonts w:ascii="仿宋" w:hAnsi="仿宋" w:eastAsia="仿宋" w:cs="仿宋"/>
          <w:b/>
          <w:color w:val="auto"/>
          <w:sz w:val="28"/>
          <w:szCs w:val="28"/>
          <w:highlight w:val="none"/>
        </w:rPr>
      </w:pPr>
    </w:p>
    <w:p>
      <w:pPr>
        <w:numPr>
          <w:ilvl w:val="0"/>
          <w:numId w:val="2"/>
        </w:numPr>
        <w:spacing w:line="360" w:lineRule="auto"/>
        <w:ind w:firstLine="562" w:firstLineChars="200"/>
        <w:outlineLvl w:val="0"/>
        <w:rPr>
          <w:rFonts w:ascii="仿宋" w:hAnsi="仿宋" w:eastAsia="仿宋" w:cs="仿宋"/>
          <w:b/>
          <w:color w:val="auto"/>
          <w:sz w:val="28"/>
          <w:szCs w:val="28"/>
          <w:highlight w:val="none"/>
        </w:rPr>
      </w:pPr>
      <w:bookmarkStart w:id="30" w:name="_Toc89024492"/>
      <w:r>
        <w:rPr>
          <w:rFonts w:hint="eastAsia" w:ascii="仿宋" w:hAnsi="仿宋" w:eastAsia="仿宋" w:cs="仿宋"/>
          <w:b/>
          <w:color w:val="auto"/>
          <w:sz w:val="28"/>
          <w:szCs w:val="28"/>
          <w:highlight w:val="none"/>
        </w:rPr>
        <w:t>意见建议</w:t>
      </w:r>
      <w:bookmarkEnd w:id="30"/>
    </w:p>
    <w:p>
      <w:pPr>
        <w:pStyle w:val="3"/>
        <w:spacing w:before="0" w:after="0" w:line="240" w:lineRule="auto"/>
        <w:ind w:firstLine="562" w:firstLineChars="200"/>
        <w:rPr>
          <w:rFonts w:ascii="仿宋" w:hAnsi="仿宋" w:eastAsia="仿宋" w:cs="仿宋"/>
          <w:bCs w:val="0"/>
          <w:color w:val="auto"/>
          <w:sz w:val="28"/>
          <w:szCs w:val="28"/>
          <w:highlight w:val="none"/>
        </w:rPr>
      </w:pPr>
      <w:bookmarkStart w:id="31" w:name="_Toc89024493"/>
      <w:r>
        <w:rPr>
          <w:rFonts w:hint="eastAsia" w:ascii="仿宋" w:hAnsi="仿宋" w:eastAsia="仿宋" w:cs="仿宋"/>
          <w:bCs w:val="0"/>
          <w:color w:val="auto"/>
          <w:sz w:val="28"/>
          <w:szCs w:val="28"/>
          <w:highlight w:val="none"/>
        </w:rPr>
        <w:t>（一）加强对施工单位监控管理</w:t>
      </w:r>
      <w:bookmarkEnd w:id="31"/>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洛江区</w:t>
      </w:r>
      <w:r>
        <w:rPr>
          <w:rFonts w:hint="eastAsia" w:ascii="仿宋" w:hAnsi="仿宋" w:eastAsia="仿宋" w:cs="仿宋"/>
          <w:color w:val="auto"/>
          <w:sz w:val="28"/>
          <w:szCs w:val="28"/>
          <w:highlight w:val="none"/>
        </w:rPr>
        <w:t>自然资源局应加强对各乡镇林业站工作进度的监督，督促林业站加强施工单位施工工程进度，建立工程进度责任制，明确具体责任人，通过层层传导，保障施工进度按照时序要求推进落实，同时将工作进度及时性纳入所属各乡镇林业站的年度考核范围。</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32" w:name="_Toc89024494"/>
      <w:r>
        <w:rPr>
          <w:rFonts w:hint="eastAsia" w:ascii="仿宋" w:hAnsi="仿宋" w:eastAsia="仿宋" w:cs="仿宋"/>
          <w:bCs w:val="0"/>
          <w:color w:val="auto"/>
          <w:sz w:val="28"/>
          <w:szCs w:val="28"/>
          <w:highlight w:val="none"/>
        </w:rPr>
        <w:t>（二）加强对验收工作的管理</w:t>
      </w:r>
      <w:bookmarkEnd w:id="32"/>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制定统一规范的工程验收报告文件，对各乡镇基层工作人员项目验收报告的规范性进行培训，包括验收的内容撰写，验收时间的规定，验收人的签名及盖章等，形成统一规范的工程验收报告，切实加强验收意见书的时效性、可比性、清晰性。</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33" w:name="_Toc89024495"/>
      <w:r>
        <w:rPr>
          <w:rFonts w:hint="eastAsia" w:ascii="仿宋" w:hAnsi="仿宋" w:eastAsia="仿宋" w:cs="仿宋"/>
          <w:bCs w:val="0"/>
          <w:color w:val="auto"/>
          <w:sz w:val="28"/>
          <w:szCs w:val="28"/>
          <w:highlight w:val="none"/>
        </w:rPr>
        <w:t>（三）加强对资金的管理</w:t>
      </w:r>
      <w:bookmarkEnd w:id="33"/>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制定专项资金使用和管理制度，并严格落实和执行。</w:t>
      </w:r>
      <w:r>
        <w:rPr>
          <w:rFonts w:hint="eastAsia" w:ascii="仿宋" w:hAnsi="仿宋" w:eastAsia="仿宋" w:cs="仿宋"/>
          <w:color w:val="auto"/>
          <w:sz w:val="28"/>
          <w:szCs w:val="28"/>
          <w:highlight w:val="none"/>
          <w:lang w:eastAsia="zh-CN"/>
        </w:rPr>
        <w:t>洛江区</w:t>
      </w:r>
      <w:r>
        <w:rPr>
          <w:rFonts w:hint="eastAsia" w:ascii="仿宋" w:hAnsi="仿宋" w:eastAsia="仿宋" w:cs="仿宋"/>
          <w:color w:val="auto"/>
          <w:sz w:val="28"/>
          <w:szCs w:val="28"/>
          <w:highlight w:val="none"/>
        </w:rPr>
        <w:t>自然资源局要对资金整个过程进行监控，形成专款专用账户，下拨到各乡镇的资金，支出时需要申请报告，填写支出情况说明，由</w:t>
      </w:r>
      <w:r>
        <w:rPr>
          <w:rFonts w:hint="eastAsia" w:ascii="仿宋" w:hAnsi="仿宋" w:eastAsia="仿宋" w:cs="仿宋"/>
          <w:color w:val="auto"/>
          <w:sz w:val="28"/>
          <w:szCs w:val="28"/>
          <w:highlight w:val="none"/>
          <w:lang w:eastAsia="zh-CN"/>
        </w:rPr>
        <w:t>洛江区</w:t>
      </w:r>
      <w:r>
        <w:rPr>
          <w:rFonts w:hint="eastAsia" w:ascii="仿宋" w:hAnsi="仿宋" w:eastAsia="仿宋" w:cs="仿宋"/>
          <w:color w:val="auto"/>
          <w:sz w:val="28"/>
          <w:szCs w:val="28"/>
          <w:highlight w:val="none"/>
        </w:rPr>
        <w:t>自然资源局审批后才能支出，并且资金直接划拨到施工单位账户，并向</w:t>
      </w:r>
      <w:r>
        <w:rPr>
          <w:rFonts w:hint="eastAsia" w:ascii="仿宋" w:hAnsi="仿宋" w:eastAsia="仿宋" w:cs="仿宋"/>
          <w:color w:val="auto"/>
          <w:sz w:val="28"/>
          <w:szCs w:val="28"/>
          <w:highlight w:val="none"/>
          <w:lang w:val="en-US" w:eastAsia="zh-CN"/>
        </w:rPr>
        <w:t>洛江区自然资源局</w:t>
      </w:r>
      <w:r>
        <w:rPr>
          <w:rFonts w:hint="eastAsia" w:ascii="仿宋" w:hAnsi="仿宋" w:eastAsia="仿宋" w:cs="仿宋"/>
          <w:color w:val="auto"/>
          <w:sz w:val="28"/>
          <w:szCs w:val="28"/>
          <w:highlight w:val="none"/>
        </w:rPr>
        <w:t>提供支付凭证，保证专款专用，提高专项资金制度化管理水平。</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34" w:name="_Toc89024496"/>
      <w:r>
        <w:rPr>
          <w:rFonts w:hint="eastAsia" w:ascii="仿宋" w:hAnsi="仿宋" w:eastAsia="仿宋" w:cs="仿宋"/>
          <w:bCs w:val="0"/>
          <w:color w:val="auto"/>
          <w:sz w:val="28"/>
          <w:szCs w:val="28"/>
          <w:highlight w:val="none"/>
        </w:rPr>
        <w:t>（四）加强人才引进和基层人员专业培训</w:t>
      </w:r>
      <w:bookmarkEnd w:id="34"/>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洛江区政府应该有计划引进一些年轻且具有林业技术专业背景的人才，同时进一步加强现有基层工作人员的专业技术培训，与时俱进，不断更新提升其专业能力。</w:t>
      </w:r>
    </w:p>
    <w:p>
      <w:pPr>
        <w:pStyle w:val="3"/>
        <w:spacing w:before="0" w:after="0" w:line="240" w:lineRule="auto"/>
        <w:ind w:firstLine="562" w:firstLineChars="200"/>
        <w:rPr>
          <w:rFonts w:ascii="仿宋" w:hAnsi="仿宋" w:eastAsia="仿宋" w:cs="仿宋"/>
          <w:bCs w:val="0"/>
          <w:color w:val="auto"/>
          <w:sz w:val="28"/>
          <w:szCs w:val="28"/>
          <w:highlight w:val="none"/>
        </w:rPr>
      </w:pPr>
      <w:bookmarkStart w:id="35" w:name="_Toc89024497"/>
      <w:r>
        <w:rPr>
          <w:rFonts w:hint="eastAsia" w:ascii="仿宋" w:hAnsi="仿宋" w:eastAsia="仿宋" w:cs="仿宋"/>
          <w:bCs w:val="0"/>
          <w:color w:val="auto"/>
          <w:sz w:val="28"/>
          <w:szCs w:val="28"/>
          <w:highlight w:val="none"/>
        </w:rPr>
        <w:t>（五）加强项目的宣传工作</w:t>
      </w:r>
      <w:bookmarkEnd w:id="35"/>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洛江区自然资源局要切实做好项目宣传的组织发动工作，各乡镇负责单位做好宣传工作的落实，通过多种宣传方式让周边群众了解松材线虫病综合防控知识。重点做好两方面的宣传工作：1.加强群众监督力。一旦群众发现枯死松树，及时向相关部门报告；2.加强群众配合度。群众不得在松树林随意拖走枯死松树及树枝或是诱木，防止松材线虫病传播。</w:t>
      </w:r>
    </w:p>
    <w:p>
      <w:pPr>
        <w:pStyle w:val="2"/>
        <w:rPr>
          <w:color w:val="auto"/>
          <w:highlight w:val="none"/>
        </w:rPr>
      </w:pPr>
    </w:p>
    <w:p>
      <w:pPr>
        <w:ind w:firstLine="562" w:firstLineChars="200"/>
        <w:outlineLvl w:val="0"/>
        <w:rPr>
          <w:rFonts w:ascii="仿宋" w:hAnsi="仿宋" w:eastAsia="仿宋" w:cs="仿宋"/>
          <w:b/>
          <w:bCs/>
          <w:color w:val="auto"/>
          <w:sz w:val="28"/>
          <w:szCs w:val="28"/>
          <w:highlight w:val="none"/>
        </w:rPr>
      </w:pPr>
      <w:bookmarkStart w:id="36" w:name="_Toc32454"/>
      <w:bookmarkStart w:id="37" w:name="_Toc18237"/>
      <w:bookmarkStart w:id="38" w:name="_Toc17399"/>
      <w:bookmarkStart w:id="39" w:name="_Toc89024498"/>
      <w:bookmarkStart w:id="40" w:name="_Toc10206"/>
      <w:bookmarkStart w:id="41" w:name="_Toc3011"/>
      <w:bookmarkStart w:id="42" w:name="_Toc6286"/>
      <w:r>
        <w:rPr>
          <w:rFonts w:hint="eastAsia" w:ascii="仿宋" w:hAnsi="仿宋" w:eastAsia="仿宋" w:cs="仿宋"/>
          <w:b/>
          <w:bCs/>
          <w:color w:val="auto"/>
          <w:sz w:val="28"/>
          <w:szCs w:val="28"/>
          <w:highlight w:val="none"/>
        </w:rPr>
        <w:t>七、其他需说明的事项</w:t>
      </w:r>
      <w:bookmarkEnd w:id="36"/>
      <w:bookmarkEnd w:id="37"/>
      <w:bookmarkEnd w:id="38"/>
      <w:bookmarkEnd w:id="39"/>
      <w:bookmarkEnd w:id="40"/>
      <w:bookmarkEnd w:id="41"/>
      <w:bookmarkEnd w:id="42"/>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1.本绩效评价报告是泉州市洛江区财政局、泉州市洛江区自然资源局</w:t>
      </w:r>
      <w:r>
        <w:rPr>
          <w:rFonts w:hint="eastAsia" w:ascii="仿宋" w:hAnsi="仿宋" w:eastAsia="仿宋" w:cs="仿宋"/>
          <w:color w:val="auto"/>
          <w:kern w:val="0"/>
          <w:sz w:val="28"/>
          <w:szCs w:val="28"/>
          <w:highlight w:val="none"/>
        </w:rPr>
        <w:t>等相关各单位</w:t>
      </w:r>
      <w:r>
        <w:rPr>
          <w:rFonts w:hint="eastAsia" w:ascii="仿宋" w:hAnsi="仿宋" w:eastAsia="仿宋" w:cs="仿宋"/>
          <w:color w:val="auto"/>
          <w:sz w:val="28"/>
          <w:szCs w:val="28"/>
          <w:highlight w:val="none"/>
        </w:rPr>
        <w:t>提供资料及回收的问卷统计数据基础上形成的。</w:t>
      </w:r>
    </w:p>
    <w:p>
      <w:pPr>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2.本绩效评价报告仅供泉州市洛江区财政局和泉州市洛江区自然资源局开展泉州市洛江区2020年度松材线虫病综合防控专项资金绩效评价相关工作使用，不作他用。</w:t>
      </w:r>
    </w:p>
    <w:p>
      <w:pPr>
        <w:ind w:firstLine="562" w:firstLineChars="200"/>
        <w:outlineLvl w:val="0"/>
        <w:rPr>
          <w:rFonts w:ascii="仿宋" w:hAnsi="仿宋" w:eastAsia="仿宋" w:cs="仿宋"/>
          <w:b/>
          <w:bCs/>
          <w:color w:val="auto"/>
          <w:sz w:val="28"/>
          <w:szCs w:val="28"/>
          <w:highlight w:val="none"/>
        </w:rPr>
      </w:pPr>
      <w:bookmarkStart w:id="43" w:name="_Toc30789"/>
      <w:bookmarkStart w:id="44" w:name="_Toc23930"/>
      <w:bookmarkStart w:id="45" w:name="_Toc27474"/>
      <w:bookmarkStart w:id="46" w:name="_Toc89024499"/>
      <w:r>
        <w:rPr>
          <w:rFonts w:hint="eastAsia" w:ascii="仿宋" w:hAnsi="仿宋" w:eastAsia="仿宋" w:cs="仿宋"/>
          <w:b/>
          <w:bCs/>
          <w:color w:val="auto"/>
          <w:sz w:val="28"/>
          <w:szCs w:val="28"/>
          <w:highlight w:val="none"/>
        </w:rPr>
        <w:t>八、附件说明</w:t>
      </w:r>
      <w:bookmarkEnd w:id="43"/>
      <w:bookmarkEnd w:id="44"/>
      <w:bookmarkEnd w:id="45"/>
      <w:bookmarkEnd w:id="46"/>
    </w:p>
    <w:p>
      <w:pPr>
        <w:shd w:val="clear" w:color="auto" w:fill="FFFFFF"/>
        <w:ind w:firstLine="560" w:firstLineChars="200"/>
        <w:outlineLvl w:val="0"/>
        <w:rPr>
          <w:rFonts w:ascii="宋体" w:hAnsi="宋体" w:eastAsia="宋体" w:cs="宋体"/>
          <w:color w:val="auto"/>
          <w:sz w:val="32"/>
          <w:szCs w:val="32"/>
          <w:highlight w:val="none"/>
          <w:lang w:bidi="zh-CN"/>
        </w:rPr>
      </w:pPr>
      <w:bookmarkStart w:id="47" w:name="_Toc31194"/>
      <w:bookmarkStart w:id="48" w:name="_Toc89024500"/>
      <w:bookmarkStart w:id="49" w:name="_Toc25851"/>
      <w:bookmarkStart w:id="50" w:name="_Toc26143"/>
      <w:bookmarkStart w:id="51" w:name="_Toc16815"/>
      <w:r>
        <w:rPr>
          <w:rFonts w:hint="eastAsia" w:ascii="仿宋" w:hAnsi="仿宋" w:eastAsia="仿宋" w:cs="仿宋"/>
          <w:color w:val="auto"/>
          <w:kern w:val="0"/>
          <w:sz w:val="28"/>
          <w:szCs w:val="28"/>
          <w:highlight w:val="none"/>
        </w:rPr>
        <w:t>附件1  泉州市</w:t>
      </w:r>
      <w:r>
        <w:rPr>
          <w:rFonts w:hint="eastAsia" w:ascii="仿宋" w:hAnsi="仿宋" w:eastAsia="仿宋" w:cs="仿宋"/>
          <w:color w:val="auto"/>
          <w:sz w:val="28"/>
          <w:szCs w:val="28"/>
          <w:highlight w:val="none"/>
        </w:rPr>
        <w:t>洛江区2020年度松材线虫病综合防控专项资金绩效评价</w:t>
      </w:r>
      <w:r>
        <w:rPr>
          <w:rFonts w:hint="eastAsia" w:ascii="仿宋" w:hAnsi="仿宋" w:eastAsia="仿宋" w:cs="仿宋"/>
          <w:color w:val="auto"/>
          <w:kern w:val="0"/>
          <w:sz w:val="28"/>
          <w:szCs w:val="28"/>
          <w:highlight w:val="none"/>
        </w:rPr>
        <w:t>调查问卷</w:t>
      </w:r>
      <w:bookmarkEnd w:id="47"/>
      <w:bookmarkEnd w:id="48"/>
      <w:bookmarkEnd w:id="49"/>
      <w:bookmarkEnd w:id="50"/>
      <w:bookmarkEnd w:id="51"/>
    </w:p>
    <w:p>
      <w:pPr>
        <w:shd w:val="clear" w:color="auto" w:fill="FFFFFF"/>
        <w:ind w:firstLine="560" w:firstLineChars="200"/>
        <w:outlineLvl w:val="0"/>
        <w:rPr>
          <w:rFonts w:ascii="仿宋" w:hAnsi="仿宋" w:eastAsia="仿宋" w:cs="仿宋"/>
          <w:color w:val="auto"/>
          <w:kern w:val="0"/>
          <w:sz w:val="28"/>
          <w:szCs w:val="28"/>
          <w:highlight w:val="none"/>
        </w:rPr>
      </w:pPr>
      <w:bookmarkStart w:id="52" w:name="_Toc10514"/>
      <w:bookmarkStart w:id="53" w:name="_Toc14851"/>
      <w:bookmarkStart w:id="54" w:name="_Toc89024501"/>
      <w:bookmarkStart w:id="55" w:name="_Toc29018"/>
      <w:bookmarkStart w:id="56" w:name="_Toc12401"/>
      <w:r>
        <w:rPr>
          <w:rFonts w:hint="eastAsia" w:ascii="仿宋" w:hAnsi="仿宋" w:eastAsia="仿宋" w:cs="仿宋"/>
          <w:color w:val="auto"/>
          <w:kern w:val="0"/>
          <w:sz w:val="28"/>
          <w:szCs w:val="28"/>
          <w:highlight w:val="none"/>
        </w:rPr>
        <w:t>附件2  现场调研照片</w:t>
      </w:r>
      <w:bookmarkEnd w:id="52"/>
      <w:bookmarkEnd w:id="53"/>
      <w:bookmarkEnd w:id="54"/>
      <w:bookmarkEnd w:id="55"/>
      <w:bookmarkEnd w:id="56"/>
    </w:p>
    <w:p>
      <w:pPr>
        <w:shd w:val="clear" w:color="auto" w:fill="FFFFFF"/>
        <w:rPr>
          <w:rFonts w:ascii="仿宋" w:hAnsi="仿宋" w:eastAsia="仿宋" w:cs="仿宋"/>
          <w:color w:val="auto"/>
          <w:kern w:val="0"/>
          <w:sz w:val="28"/>
          <w:szCs w:val="28"/>
          <w:highlight w:val="none"/>
        </w:rPr>
      </w:pPr>
    </w:p>
    <w:p>
      <w:pPr>
        <w:shd w:val="clear" w:color="auto" w:fill="FFFFFF"/>
        <w:ind w:firstLine="562" w:firstLineChars="200"/>
        <w:jc w:val="center"/>
        <w:outlineLvl w:val="0"/>
        <w:rPr>
          <w:rFonts w:ascii="宋体" w:hAnsi="宋体" w:eastAsia="宋体" w:cs="宋体"/>
          <w:b/>
          <w:bCs/>
          <w:color w:val="auto"/>
          <w:sz w:val="32"/>
          <w:szCs w:val="32"/>
          <w:highlight w:val="none"/>
          <w:lang w:bidi="zh-CN"/>
        </w:rPr>
      </w:pPr>
      <w:bookmarkStart w:id="57" w:name="_Toc89024502"/>
      <w:r>
        <w:rPr>
          <w:rFonts w:hint="eastAsia" w:ascii="仿宋" w:hAnsi="仿宋" w:eastAsia="仿宋" w:cs="仿宋"/>
          <w:b/>
          <w:bCs/>
          <w:color w:val="auto"/>
          <w:kern w:val="0"/>
          <w:sz w:val="28"/>
          <w:szCs w:val="28"/>
          <w:highlight w:val="none"/>
        </w:rPr>
        <w:t>附件1  泉州市</w:t>
      </w:r>
      <w:r>
        <w:rPr>
          <w:rFonts w:hint="eastAsia" w:ascii="仿宋" w:hAnsi="仿宋" w:eastAsia="仿宋" w:cs="仿宋"/>
          <w:b/>
          <w:bCs/>
          <w:color w:val="auto"/>
          <w:sz w:val="28"/>
          <w:szCs w:val="28"/>
          <w:highlight w:val="none"/>
        </w:rPr>
        <w:t>洛江区2020年度松材线虫病综合防控专项资金绩效评价</w:t>
      </w:r>
      <w:r>
        <w:rPr>
          <w:rFonts w:hint="eastAsia" w:ascii="仿宋" w:hAnsi="仿宋" w:eastAsia="仿宋" w:cs="仿宋"/>
          <w:b/>
          <w:bCs/>
          <w:color w:val="auto"/>
          <w:kern w:val="0"/>
          <w:sz w:val="28"/>
          <w:szCs w:val="28"/>
          <w:highlight w:val="none"/>
        </w:rPr>
        <w:t>调查问卷</w:t>
      </w:r>
      <w:bookmarkEnd w:id="57"/>
    </w:p>
    <w:p>
      <w:pPr>
        <w:rPr>
          <w:b/>
          <w:color w:val="auto"/>
          <w:sz w:val="32"/>
          <w:highlight w:val="none"/>
        </w:rPr>
      </w:pPr>
      <w:r>
        <w:rPr>
          <w:color w:val="auto"/>
          <w:sz w:val="24"/>
          <w:highlight w:val="none"/>
        </w:rPr>
        <w:t>第1题   您的所处区域      [单选题]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万安街道</w:t>
            </w:r>
          </w:p>
        </w:tc>
        <w:tc>
          <w:tcPr>
            <w:tcW w:w="0" w:type="auto"/>
            <w:shd w:val="clear" w:color="auto" w:fill="FFFFFF"/>
            <w:vAlign w:val="center"/>
          </w:tcPr>
          <w:p>
            <w:pPr>
              <w:jc w:val="center"/>
              <w:rPr>
                <w:color w:val="auto"/>
                <w:highlight w:val="none"/>
              </w:rPr>
            </w:pPr>
            <w:r>
              <w:rPr>
                <w:color w:val="auto"/>
                <w:highlight w:val="none"/>
              </w:rPr>
              <w:t>63</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533400" cy="11430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6" cstate="print"/>
                          <a:stretch>
                            <a:fillRect/>
                          </a:stretch>
                        </pic:blipFill>
                        <pic:spPr>
                          <a:xfrm>
                            <a:off x="0" y="0"/>
                            <a:ext cx="533400" cy="114300"/>
                          </a:xfrm>
                          <a:prstGeom prst="rect">
                            <a:avLst/>
                          </a:prstGeom>
                          <a:noFill/>
                          <a:ln>
                            <a:noFill/>
                          </a:ln>
                        </pic:spPr>
                      </pic:pic>
                    </a:graphicData>
                  </a:graphic>
                </wp:inline>
              </w:drawing>
            </w:r>
            <w:r>
              <w:rPr>
                <w:color w:val="auto"/>
                <w:highlight w:val="none"/>
              </w:rPr>
              <w:drawing>
                <wp:inline distT="0" distB="0" distL="114300" distR="114300">
                  <wp:extent cx="819150" cy="114300"/>
                  <wp:effectExtent l="0" t="0" r="0" b="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cstate="print"/>
                          <a:stretch>
                            <a:fillRect/>
                          </a:stretch>
                        </pic:blipFill>
                        <pic:spPr>
                          <a:xfrm>
                            <a:off x="0" y="0"/>
                            <a:ext cx="819150" cy="114300"/>
                          </a:xfrm>
                          <a:prstGeom prst="rect">
                            <a:avLst/>
                          </a:prstGeom>
                          <a:noFill/>
                          <a:ln>
                            <a:noFill/>
                          </a:ln>
                        </pic:spPr>
                      </pic:pic>
                    </a:graphicData>
                  </a:graphic>
                </wp:inline>
              </w:drawing>
            </w:r>
            <w:r>
              <w:rPr>
                <w:color w:val="auto"/>
                <w:highlight w:val="none"/>
              </w:rPr>
              <w:t>39.62%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双阳街道</w:t>
            </w:r>
          </w:p>
        </w:tc>
        <w:tc>
          <w:tcPr>
            <w:tcW w:w="0" w:type="auto"/>
            <w:shd w:val="clear" w:color="auto" w:fill="F9F9F9"/>
            <w:vAlign w:val="center"/>
          </w:tcPr>
          <w:p>
            <w:pPr>
              <w:jc w:val="center"/>
              <w:rPr>
                <w:color w:val="auto"/>
                <w:highlight w:val="none"/>
              </w:rPr>
            </w:pPr>
            <w:r>
              <w:rPr>
                <w:color w:val="auto"/>
                <w:highlight w:val="none"/>
              </w:rPr>
              <w:t>17</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142875" cy="114300"/>
                  <wp:effectExtent l="0" t="0" r="9525"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8" cstate="print"/>
                          <a:stretch>
                            <a:fillRect/>
                          </a:stretch>
                        </pic:blipFill>
                        <pic:spPr>
                          <a:xfrm>
                            <a:off x="0" y="0"/>
                            <a:ext cx="142875" cy="114300"/>
                          </a:xfrm>
                          <a:prstGeom prst="rect">
                            <a:avLst/>
                          </a:prstGeom>
                          <a:noFill/>
                          <a:ln>
                            <a:noFill/>
                          </a:ln>
                        </pic:spPr>
                      </pic:pic>
                    </a:graphicData>
                  </a:graphic>
                </wp:inline>
              </w:drawing>
            </w:r>
            <w:r>
              <w:rPr>
                <w:color w:val="auto"/>
                <w:highlight w:val="none"/>
              </w:rPr>
              <w:drawing>
                <wp:inline distT="0" distB="0" distL="114300" distR="114300">
                  <wp:extent cx="1209675" cy="114300"/>
                  <wp:effectExtent l="0" t="0" r="9525"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9" cstate="print"/>
                          <a:stretch>
                            <a:fillRect/>
                          </a:stretch>
                        </pic:blipFill>
                        <pic:spPr>
                          <a:xfrm>
                            <a:off x="0" y="0"/>
                            <a:ext cx="1209675" cy="114300"/>
                          </a:xfrm>
                          <a:prstGeom prst="rect">
                            <a:avLst/>
                          </a:prstGeom>
                          <a:noFill/>
                          <a:ln>
                            <a:noFill/>
                          </a:ln>
                        </pic:spPr>
                      </pic:pic>
                    </a:graphicData>
                  </a:graphic>
                </wp:inline>
              </w:drawing>
            </w:r>
            <w:r>
              <w:rPr>
                <w:color w:val="auto"/>
                <w:highlight w:val="none"/>
              </w:rPr>
              <w:t>10.69%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罗溪镇</w:t>
            </w:r>
          </w:p>
        </w:tc>
        <w:tc>
          <w:tcPr>
            <w:tcW w:w="0" w:type="auto"/>
            <w:shd w:val="clear" w:color="auto" w:fill="FFFFFF"/>
            <w:vAlign w:val="center"/>
          </w:tcPr>
          <w:p>
            <w:pPr>
              <w:jc w:val="center"/>
              <w:rPr>
                <w:color w:val="auto"/>
                <w:highlight w:val="none"/>
              </w:rPr>
            </w:pPr>
            <w:r>
              <w:rPr>
                <w:color w:val="auto"/>
                <w:highlight w:val="none"/>
              </w:rPr>
              <w:t>25</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209550" cy="114300"/>
                  <wp:effectExtent l="0" t="0" r="0" b="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0" cstate="print"/>
                          <a:stretch>
                            <a:fillRect/>
                          </a:stretch>
                        </pic:blipFill>
                        <pic:spPr>
                          <a:xfrm>
                            <a:off x="0" y="0"/>
                            <a:ext cx="209550" cy="114300"/>
                          </a:xfrm>
                          <a:prstGeom prst="rect">
                            <a:avLst/>
                          </a:prstGeom>
                          <a:noFill/>
                          <a:ln>
                            <a:noFill/>
                          </a:ln>
                        </pic:spPr>
                      </pic:pic>
                    </a:graphicData>
                  </a:graphic>
                </wp:inline>
              </w:drawing>
            </w:r>
            <w:r>
              <w:rPr>
                <w:color w:val="auto"/>
                <w:highlight w:val="none"/>
              </w:rPr>
              <w:drawing>
                <wp:inline distT="0" distB="0" distL="114300" distR="114300">
                  <wp:extent cx="1143000" cy="114300"/>
                  <wp:effectExtent l="0" t="0" r="0"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11" cstate="print"/>
                          <a:stretch>
                            <a:fillRect/>
                          </a:stretch>
                        </pic:blipFill>
                        <pic:spPr>
                          <a:xfrm>
                            <a:off x="0" y="0"/>
                            <a:ext cx="1143000" cy="114300"/>
                          </a:xfrm>
                          <a:prstGeom prst="rect">
                            <a:avLst/>
                          </a:prstGeom>
                          <a:noFill/>
                          <a:ln>
                            <a:noFill/>
                          </a:ln>
                        </pic:spPr>
                      </pic:pic>
                    </a:graphicData>
                  </a:graphic>
                </wp:inline>
              </w:drawing>
            </w:r>
            <w:r>
              <w:rPr>
                <w:color w:val="auto"/>
                <w:highlight w:val="none"/>
              </w:rPr>
              <w:t>15.72%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马甲镇</w:t>
            </w:r>
          </w:p>
        </w:tc>
        <w:tc>
          <w:tcPr>
            <w:tcW w:w="0" w:type="auto"/>
            <w:shd w:val="clear" w:color="auto" w:fill="F9F9F9"/>
            <w:vAlign w:val="center"/>
          </w:tcPr>
          <w:p>
            <w:pPr>
              <w:jc w:val="center"/>
              <w:rPr>
                <w:color w:val="auto"/>
                <w:highlight w:val="none"/>
              </w:rPr>
            </w:pPr>
            <w:r>
              <w:rPr>
                <w:color w:val="auto"/>
                <w:highlight w:val="none"/>
              </w:rPr>
              <w:t>32</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266700" cy="114300"/>
                  <wp:effectExtent l="0" t="0" r="0" b="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2" cstate="print"/>
                          <a:stretch>
                            <a:fillRect/>
                          </a:stretch>
                        </pic:blipFill>
                        <pic:spPr>
                          <a:xfrm>
                            <a:off x="0" y="0"/>
                            <a:ext cx="266700" cy="114300"/>
                          </a:xfrm>
                          <a:prstGeom prst="rect">
                            <a:avLst/>
                          </a:prstGeom>
                          <a:noFill/>
                          <a:ln>
                            <a:noFill/>
                          </a:ln>
                        </pic:spPr>
                      </pic:pic>
                    </a:graphicData>
                  </a:graphic>
                </wp:inline>
              </w:drawing>
            </w:r>
            <w:r>
              <w:rPr>
                <w:color w:val="auto"/>
                <w:highlight w:val="none"/>
              </w:rPr>
              <w:drawing>
                <wp:inline distT="0" distB="0" distL="114300" distR="114300">
                  <wp:extent cx="1085850" cy="114300"/>
                  <wp:effectExtent l="0" t="0" r="0" b="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13" cstate="print"/>
                          <a:stretch>
                            <a:fillRect/>
                          </a:stretch>
                        </pic:blipFill>
                        <pic:spPr>
                          <a:xfrm>
                            <a:off x="0" y="0"/>
                            <a:ext cx="1085850" cy="114300"/>
                          </a:xfrm>
                          <a:prstGeom prst="rect">
                            <a:avLst/>
                          </a:prstGeom>
                          <a:noFill/>
                          <a:ln>
                            <a:noFill/>
                          </a:ln>
                        </pic:spPr>
                      </pic:pic>
                    </a:graphicData>
                  </a:graphic>
                </wp:inline>
              </w:drawing>
            </w:r>
            <w:r>
              <w:rPr>
                <w:color w:val="auto"/>
                <w:highlight w:val="none"/>
              </w:rPr>
              <w:t>20.13%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河市镇</w:t>
            </w:r>
          </w:p>
        </w:tc>
        <w:tc>
          <w:tcPr>
            <w:tcW w:w="0" w:type="auto"/>
            <w:shd w:val="clear" w:color="auto" w:fill="FFFFFF"/>
            <w:vAlign w:val="center"/>
          </w:tcPr>
          <w:p>
            <w:pPr>
              <w:jc w:val="center"/>
              <w:rPr>
                <w:color w:val="auto"/>
                <w:highlight w:val="none"/>
              </w:rPr>
            </w:pPr>
            <w:r>
              <w:rPr>
                <w:color w:val="auto"/>
                <w:highlight w:val="none"/>
              </w:rPr>
              <w:t>8</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66675" cy="114300"/>
                  <wp:effectExtent l="0" t="0" r="9525" b="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4" cstate="print"/>
                          <a:stretch>
                            <a:fillRect/>
                          </a:stretch>
                        </pic:blipFill>
                        <pic:spPr>
                          <a:xfrm>
                            <a:off x="0" y="0"/>
                            <a:ext cx="66675" cy="114300"/>
                          </a:xfrm>
                          <a:prstGeom prst="rect">
                            <a:avLst/>
                          </a:prstGeom>
                          <a:noFill/>
                          <a:ln>
                            <a:noFill/>
                          </a:ln>
                        </pic:spPr>
                      </pic:pic>
                    </a:graphicData>
                  </a:graphic>
                </wp:inline>
              </w:drawing>
            </w:r>
            <w:r>
              <w:rPr>
                <w:color w:val="auto"/>
                <w:highlight w:val="none"/>
              </w:rPr>
              <w:drawing>
                <wp:inline distT="0" distB="0" distL="114300" distR="114300">
                  <wp:extent cx="1285875" cy="114300"/>
                  <wp:effectExtent l="0" t="0" r="9525"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15" cstate="print"/>
                          <a:stretch>
                            <a:fillRect/>
                          </a:stretch>
                        </pic:blipFill>
                        <pic:spPr>
                          <a:xfrm>
                            <a:off x="0" y="0"/>
                            <a:ext cx="1285875" cy="114300"/>
                          </a:xfrm>
                          <a:prstGeom prst="rect">
                            <a:avLst/>
                          </a:prstGeom>
                          <a:noFill/>
                          <a:ln>
                            <a:noFill/>
                          </a:ln>
                        </pic:spPr>
                      </pic:pic>
                    </a:graphicData>
                  </a:graphic>
                </wp:inline>
              </w:drawing>
            </w:r>
            <w:r>
              <w:rPr>
                <w:color w:val="auto"/>
                <w:highlight w:val="none"/>
              </w:rPr>
              <w:t>5.03%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虹山乡</w:t>
            </w:r>
          </w:p>
        </w:tc>
        <w:tc>
          <w:tcPr>
            <w:tcW w:w="0" w:type="auto"/>
            <w:shd w:val="clear" w:color="auto" w:fill="F9F9F9"/>
            <w:vAlign w:val="center"/>
          </w:tcPr>
          <w:p>
            <w:pPr>
              <w:jc w:val="center"/>
              <w:rPr>
                <w:color w:val="auto"/>
                <w:highlight w:val="none"/>
              </w:rPr>
            </w:pPr>
            <w:r>
              <w:rPr>
                <w:color w:val="auto"/>
                <w:highlight w:val="none"/>
              </w:rPr>
              <w:t>14</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114300" cy="114300"/>
                  <wp:effectExtent l="0" t="0" r="0"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16" cstate="print"/>
                          <a:stretch>
                            <a:fillRect/>
                          </a:stretch>
                        </pic:blipFill>
                        <pic:spPr>
                          <a:xfrm>
                            <a:off x="0" y="0"/>
                            <a:ext cx="114300" cy="114300"/>
                          </a:xfrm>
                          <a:prstGeom prst="rect">
                            <a:avLst/>
                          </a:prstGeom>
                          <a:noFill/>
                          <a:ln>
                            <a:noFill/>
                          </a:ln>
                        </pic:spPr>
                      </pic:pic>
                    </a:graphicData>
                  </a:graphic>
                </wp:inline>
              </w:drawing>
            </w:r>
            <w:r>
              <w:rPr>
                <w:color w:val="auto"/>
                <w:highlight w:val="none"/>
              </w:rPr>
              <w:drawing>
                <wp:inline distT="0" distB="0" distL="114300" distR="114300">
                  <wp:extent cx="1238250" cy="114300"/>
                  <wp:effectExtent l="0" t="0" r="0" b="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17" cstate="print"/>
                          <a:stretch>
                            <a:fillRect/>
                          </a:stretch>
                        </pic:blipFill>
                        <pic:spPr>
                          <a:xfrm>
                            <a:off x="0" y="0"/>
                            <a:ext cx="1238250" cy="114300"/>
                          </a:xfrm>
                          <a:prstGeom prst="rect">
                            <a:avLst/>
                          </a:prstGeom>
                          <a:noFill/>
                          <a:ln>
                            <a:noFill/>
                          </a:ln>
                        </pic:spPr>
                      </pic:pic>
                    </a:graphicData>
                  </a:graphic>
                </wp:inline>
              </w:drawing>
            </w:r>
            <w:r>
              <w:rPr>
                <w:color w:val="auto"/>
                <w:highlight w:val="none"/>
              </w:rPr>
              <w:t>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第2题   您了解松材线虫病吗      [单选题]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一点都不了解</w:t>
            </w:r>
          </w:p>
        </w:tc>
        <w:tc>
          <w:tcPr>
            <w:tcW w:w="0" w:type="auto"/>
            <w:shd w:val="clear" w:color="auto" w:fill="FFFFFF"/>
            <w:vAlign w:val="center"/>
          </w:tcPr>
          <w:p>
            <w:pPr>
              <w:jc w:val="center"/>
              <w:rPr>
                <w:color w:val="auto"/>
                <w:highlight w:val="none"/>
              </w:rPr>
            </w:pPr>
            <w:r>
              <w:rPr>
                <w:color w:val="auto"/>
                <w:highlight w:val="none"/>
              </w:rPr>
              <w:t>13</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104775" cy="114300"/>
                  <wp:effectExtent l="0" t="0" r="9525"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18" cstate="print"/>
                          <a:stretch>
                            <a:fillRect/>
                          </a:stretch>
                        </pic:blipFill>
                        <pic:spPr>
                          <a:xfrm>
                            <a:off x="0" y="0"/>
                            <a:ext cx="104775" cy="114300"/>
                          </a:xfrm>
                          <a:prstGeom prst="rect">
                            <a:avLst/>
                          </a:prstGeom>
                          <a:noFill/>
                          <a:ln>
                            <a:noFill/>
                          </a:ln>
                        </pic:spPr>
                      </pic:pic>
                    </a:graphicData>
                  </a:graphic>
                </wp:inline>
              </w:drawing>
            </w:r>
            <w:r>
              <w:rPr>
                <w:color w:val="auto"/>
                <w:highlight w:val="none"/>
              </w:rPr>
              <w:drawing>
                <wp:inline distT="0" distB="0" distL="114300" distR="114300">
                  <wp:extent cx="1247775" cy="114300"/>
                  <wp:effectExtent l="0" t="0" r="9525" b="0"/>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19" cstate="print"/>
                          <a:stretch>
                            <a:fillRect/>
                          </a:stretch>
                        </pic:blipFill>
                        <pic:spPr>
                          <a:xfrm>
                            <a:off x="0" y="0"/>
                            <a:ext cx="1247775" cy="114300"/>
                          </a:xfrm>
                          <a:prstGeom prst="rect">
                            <a:avLst/>
                          </a:prstGeom>
                          <a:noFill/>
                          <a:ln>
                            <a:noFill/>
                          </a:ln>
                        </pic:spPr>
                      </pic:pic>
                    </a:graphicData>
                  </a:graphic>
                </wp:inline>
              </w:drawing>
            </w:r>
            <w:r>
              <w:rPr>
                <w:color w:val="auto"/>
                <w:highlight w:val="none"/>
              </w:rPr>
              <w:t>8.18%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了解一点</w:t>
            </w:r>
          </w:p>
        </w:tc>
        <w:tc>
          <w:tcPr>
            <w:tcW w:w="0" w:type="auto"/>
            <w:shd w:val="clear" w:color="auto" w:fill="F9F9F9"/>
            <w:vAlign w:val="center"/>
          </w:tcPr>
          <w:p>
            <w:pPr>
              <w:jc w:val="center"/>
              <w:rPr>
                <w:color w:val="auto"/>
                <w:highlight w:val="none"/>
              </w:rPr>
            </w:pPr>
            <w:r>
              <w:rPr>
                <w:color w:val="auto"/>
                <w:highlight w:val="none"/>
              </w:rPr>
              <w:t>47</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390525" cy="114300"/>
                  <wp:effectExtent l="0" t="0" r="9525" b="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20" cstate="print"/>
                          <a:stretch>
                            <a:fillRect/>
                          </a:stretch>
                        </pic:blipFill>
                        <pic:spPr>
                          <a:xfrm>
                            <a:off x="0" y="0"/>
                            <a:ext cx="390525" cy="114300"/>
                          </a:xfrm>
                          <a:prstGeom prst="rect">
                            <a:avLst/>
                          </a:prstGeom>
                          <a:noFill/>
                          <a:ln>
                            <a:noFill/>
                          </a:ln>
                        </pic:spPr>
                      </pic:pic>
                    </a:graphicData>
                  </a:graphic>
                </wp:inline>
              </w:drawing>
            </w:r>
            <w:r>
              <w:rPr>
                <w:color w:val="auto"/>
                <w:highlight w:val="none"/>
              </w:rPr>
              <w:drawing>
                <wp:inline distT="0" distB="0" distL="114300" distR="114300">
                  <wp:extent cx="962025" cy="114300"/>
                  <wp:effectExtent l="0" t="0" r="9525" b="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21" cstate="print"/>
                          <a:stretch>
                            <a:fillRect/>
                          </a:stretch>
                        </pic:blipFill>
                        <pic:spPr>
                          <a:xfrm>
                            <a:off x="0" y="0"/>
                            <a:ext cx="962025" cy="114300"/>
                          </a:xfrm>
                          <a:prstGeom prst="rect">
                            <a:avLst/>
                          </a:prstGeom>
                          <a:noFill/>
                          <a:ln>
                            <a:noFill/>
                          </a:ln>
                        </pic:spPr>
                      </pic:pic>
                    </a:graphicData>
                  </a:graphic>
                </wp:inline>
              </w:drawing>
            </w:r>
            <w:r>
              <w:rPr>
                <w:color w:val="auto"/>
                <w:highlight w:val="none"/>
              </w:rPr>
              <w:t>29.56%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较了解</w:t>
            </w:r>
          </w:p>
        </w:tc>
        <w:tc>
          <w:tcPr>
            <w:tcW w:w="0" w:type="auto"/>
            <w:shd w:val="clear" w:color="auto" w:fill="FFFFFF"/>
            <w:vAlign w:val="center"/>
          </w:tcPr>
          <w:p>
            <w:pPr>
              <w:jc w:val="center"/>
              <w:rPr>
                <w:color w:val="auto"/>
                <w:highlight w:val="none"/>
              </w:rPr>
            </w:pPr>
            <w:r>
              <w:rPr>
                <w:color w:val="auto"/>
                <w:highlight w:val="none"/>
              </w:rPr>
              <w:t>43</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361950" cy="114300"/>
                  <wp:effectExtent l="0" t="0" r="0" b="0"/>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22" cstate="print"/>
                          <a:stretch>
                            <a:fillRect/>
                          </a:stretch>
                        </pic:blipFill>
                        <pic:spPr>
                          <a:xfrm>
                            <a:off x="0" y="0"/>
                            <a:ext cx="361950" cy="114300"/>
                          </a:xfrm>
                          <a:prstGeom prst="rect">
                            <a:avLst/>
                          </a:prstGeom>
                          <a:noFill/>
                          <a:ln>
                            <a:noFill/>
                          </a:ln>
                        </pic:spPr>
                      </pic:pic>
                    </a:graphicData>
                  </a:graphic>
                </wp:inline>
              </w:drawing>
            </w:r>
            <w:r>
              <w:rPr>
                <w:color w:val="auto"/>
                <w:highlight w:val="none"/>
              </w:rPr>
              <w:drawing>
                <wp:inline distT="0" distB="0" distL="114300" distR="114300">
                  <wp:extent cx="990600" cy="114300"/>
                  <wp:effectExtent l="0" t="0" r="0" b="0"/>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23" cstate="print"/>
                          <a:stretch>
                            <a:fillRect/>
                          </a:stretch>
                        </pic:blipFill>
                        <pic:spPr>
                          <a:xfrm>
                            <a:off x="0" y="0"/>
                            <a:ext cx="990600" cy="114300"/>
                          </a:xfrm>
                          <a:prstGeom prst="rect">
                            <a:avLst/>
                          </a:prstGeom>
                          <a:noFill/>
                          <a:ln>
                            <a:noFill/>
                          </a:ln>
                        </pic:spPr>
                      </pic:pic>
                    </a:graphicData>
                  </a:graphic>
                </wp:inline>
              </w:drawing>
            </w:r>
            <w:r>
              <w:rPr>
                <w:color w:val="auto"/>
                <w:highlight w:val="none"/>
              </w:rPr>
              <w:t>27.04%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了解较全面</w:t>
            </w:r>
          </w:p>
        </w:tc>
        <w:tc>
          <w:tcPr>
            <w:tcW w:w="0" w:type="auto"/>
            <w:shd w:val="clear" w:color="auto" w:fill="F9F9F9"/>
            <w:vAlign w:val="center"/>
          </w:tcPr>
          <w:p>
            <w:pPr>
              <w:jc w:val="center"/>
              <w:rPr>
                <w:color w:val="auto"/>
                <w:highlight w:val="none"/>
              </w:rPr>
            </w:pPr>
            <w:r>
              <w:rPr>
                <w:color w:val="auto"/>
                <w:highlight w:val="none"/>
              </w:rPr>
              <w:t>56</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476250" cy="114300"/>
                  <wp:effectExtent l="0" t="0" r="0" b="0"/>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24" cstate="print"/>
                          <a:stretch>
                            <a:fillRect/>
                          </a:stretch>
                        </pic:blipFill>
                        <pic:spPr>
                          <a:xfrm>
                            <a:off x="0" y="0"/>
                            <a:ext cx="476250" cy="114300"/>
                          </a:xfrm>
                          <a:prstGeom prst="rect">
                            <a:avLst/>
                          </a:prstGeom>
                          <a:noFill/>
                          <a:ln>
                            <a:noFill/>
                          </a:ln>
                        </pic:spPr>
                      </pic:pic>
                    </a:graphicData>
                  </a:graphic>
                </wp:inline>
              </w:drawing>
            </w:r>
            <w:r>
              <w:rPr>
                <w:color w:val="auto"/>
                <w:highlight w:val="none"/>
              </w:rPr>
              <w:drawing>
                <wp:inline distT="0" distB="0" distL="114300" distR="114300">
                  <wp:extent cx="876300" cy="114300"/>
                  <wp:effectExtent l="0" t="0" r="0" b="0"/>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25" cstate="print"/>
                          <a:stretch>
                            <a:fillRect/>
                          </a:stretch>
                        </pic:blipFill>
                        <pic:spPr>
                          <a:xfrm>
                            <a:off x="0" y="0"/>
                            <a:ext cx="876300" cy="114300"/>
                          </a:xfrm>
                          <a:prstGeom prst="rect">
                            <a:avLst/>
                          </a:prstGeom>
                          <a:noFill/>
                          <a:ln>
                            <a:noFill/>
                          </a:ln>
                        </pic:spPr>
                      </pic:pic>
                    </a:graphicData>
                  </a:graphic>
                </wp:inline>
              </w:drawing>
            </w:r>
            <w:r>
              <w:rPr>
                <w:color w:val="auto"/>
                <w:highlight w:val="none"/>
              </w:rPr>
              <w:t>35.22%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第3题   您从哪些方面了解松材线虫病防控知识?      [多选题]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⑴广播电视</w:t>
            </w:r>
          </w:p>
        </w:tc>
        <w:tc>
          <w:tcPr>
            <w:tcW w:w="0" w:type="auto"/>
            <w:shd w:val="clear" w:color="auto" w:fill="FFFFFF"/>
            <w:vAlign w:val="center"/>
          </w:tcPr>
          <w:p>
            <w:pPr>
              <w:jc w:val="center"/>
              <w:rPr>
                <w:color w:val="auto"/>
                <w:highlight w:val="none"/>
              </w:rPr>
            </w:pPr>
            <w:r>
              <w:rPr>
                <w:color w:val="auto"/>
                <w:highlight w:val="none"/>
              </w:rPr>
              <w:t>82</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695325" cy="114300"/>
                  <wp:effectExtent l="0" t="0" r="9525" b="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26" cstate="print"/>
                          <a:stretch>
                            <a:fillRect/>
                          </a:stretch>
                        </pic:blipFill>
                        <pic:spPr>
                          <a:xfrm>
                            <a:off x="0" y="0"/>
                            <a:ext cx="695325" cy="114300"/>
                          </a:xfrm>
                          <a:prstGeom prst="rect">
                            <a:avLst/>
                          </a:prstGeom>
                          <a:noFill/>
                          <a:ln>
                            <a:noFill/>
                          </a:ln>
                        </pic:spPr>
                      </pic:pic>
                    </a:graphicData>
                  </a:graphic>
                </wp:inline>
              </w:drawing>
            </w:r>
            <w:r>
              <w:rPr>
                <w:color w:val="auto"/>
                <w:highlight w:val="none"/>
              </w:rPr>
              <w:drawing>
                <wp:inline distT="0" distB="0" distL="114300" distR="114300">
                  <wp:extent cx="657225" cy="114300"/>
                  <wp:effectExtent l="0" t="0" r="9525" b="0"/>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27" cstate="print"/>
                          <a:stretch>
                            <a:fillRect/>
                          </a:stretch>
                        </pic:blipFill>
                        <pic:spPr>
                          <a:xfrm>
                            <a:off x="0" y="0"/>
                            <a:ext cx="657225" cy="114300"/>
                          </a:xfrm>
                          <a:prstGeom prst="rect">
                            <a:avLst/>
                          </a:prstGeom>
                          <a:noFill/>
                          <a:ln>
                            <a:noFill/>
                          </a:ln>
                        </pic:spPr>
                      </pic:pic>
                    </a:graphicData>
                  </a:graphic>
                </wp:inline>
              </w:drawing>
            </w:r>
            <w:r>
              <w:rPr>
                <w:color w:val="auto"/>
                <w:highlight w:val="none"/>
              </w:rPr>
              <w:t>51.57%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⑵宣传画册</w:t>
            </w:r>
          </w:p>
        </w:tc>
        <w:tc>
          <w:tcPr>
            <w:tcW w:w="0" w:type="auto"/>
            <w:shd w:val="clear" w:color="auto" w:fill="F9F9F9"/>
            <w:vAlign w:val="center"/>
          </w:tcPr>
          <w:p>
            <w:pPr>
              <w:jc w:val="center"/>
              <w:rPr>
                <w:color w:val="auto"/>
                <w:highlight w:val="none"/>
              </w:rPr>
            </w:pPr>
            <w:r>
              <w:rPr>
                <w:color w:val="auto"/>
                <w:highlight w:val="none"/>
              </w:rPr>
              <w:t>98</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828675" cy="114300"/>
                  <wp:effectExtent l="0" t="0" r="9525" b="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28" cstate="print"/>
                          <a:stretch>
                            <a:fillRect/>
                          </a:stretch>
                        </pic:blipFill>
                        <pic:spPr>
                          <a:xfrm>
                            <a:off x="0" y="0"/>
                            <a:ext cx="828675" cy="114300"/>
                          </a:xfrm>
                          <a:prstGeom prst="rect">
                            <a:avLst/>
                          </a:prstGeom>
                          <a:noFill/>
                          <a:ln>
                            <a:noFill/>
                          </a:ln>
                        </pic:spPr>
                      </pic:pic>
                    </a:graphicData>
                  </a:graphic>
                </wp:inline>
              </w:drawing>
            </w:r>
            <w:r>
              <w:rPr>
                <w:color w:val="auto"/>
                <w:highlight w:val="none"/>
              </w:rPr>
              <w:drawing>
                <wp:inline distT="0" distB="0" distL="114300" distR="114300">
                  <wp:extent cx="523875" cy="114300"/>
                  <wp:effectExtent l="0" t="0" r="9525" b="0"/>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29" cstate="print"/>
                          <a:stretch>
                            <a:fillRect/>
                          </a:stretch>
                        </pic:blipFill>
                        <pic:spPr>
                          <a:xfrm>
                            <a:off x="0" y="0"/>
                            <a:ext cx="523875" cy="114300"/>
                          </a:xfrm>
                          <a:prstGeom prst="rect">
                            <a:avLst/>
                          </a:prstGeom>
                          <a:noFill/>
                          <a:ln>
                            <a:noFill/>
                          </a:ln>
                        </pic:spPr>
                      </pic:pic>
                    </a:graphicData>
                  </a:graphic>
                </wp:inline>
              </w:drawing>
            </w:r>
            <w:r>
              <w:rPr>
                <w:color w:val="auto"/>
                <w:highlight w:val="none"/>
              </w:rPr>
              <w:t>61.64%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⑶森防人员</w:t>
            </w:r>
          </w:p>
        </w:tc>
        <w:tc>
          <w:tcPr>
            <w:tcW w:w="0" w:type="auto"/>
            <w:shd w:val="clear" w:color="auto" w:fill="FFFFFF"/>
            <w:vAlign w:val="center"/>
          </w:tcPr>
          <w:p>
            <w:pPr>
              <w:jc w:val="center"/>
              <w:rPr>
                <w:color w:val="auto"/>
                <w:highlight w:val="none"/>
              </w:rPr>
            </w:pPr>
            <w:r>
              <w:rPr>
                <w:color w:val="auto"/>
                <w:highlight w:val="none"/>
              </w:rPr>
              <w:t>120</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1019175" cy="114300"/>
                  <wp:effectExtent l="0" t="0" r="9525" b="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30" cstate="print"/>
                          <a:stretch>
                            <a:fillRect/>
                          </a:stretch>
                        </pic:blipFill>
                        <pic:spPr>
                          <a:xfrm>
                            <a:off x="0" y="0"/>
                            <a:ext cx="1019175" cy="114300"/>
                          </a:xfrm>
                          <a:prstGeom prst="rect">
                            <a:avLst/>
                          </a:prstGeom>
                          <a:noFill/>
                          <a:ln>
                            <a:noFill/>
                          </a:ln>
                        </pic:spPr>
                      </pic:pic>
                    </a:graphicData>
                  </a:graphic>
                </wp:inline>
              </w:drawing>
            </w:r>
            <w:r>
              <w:rPr>
                <w:color w:val="auto"/>
                <w:highlight w:val="none"/>
              </w:rPr>
              <w:drawing>
                <wp:inline distT="0" distB="0" distL="114300" distR="114300">
                  <wp:extent cx="333375" cy="114300"/>
                  <wp:effectExtent l="0" t="0" r="9525" b="0"/>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31" cstate="print"/>
                          <a:stretch>
                            <a:fillRect/>
                          </a:stretch>
                        </pic:blipFill>
                        <pic:spPr>
                          <a:xfrm>
                            <a:off x="0" y="0"/>
                            <a:ext cx="333375" cy="114300"/>
                          </a:xfrm>
                          <a:prstGeom prst="rect">
                            <a:avLst/>
                          </a:prstGeom>
                          <a:noFill/>
                          <a:ln>
                            <a:noFill/>
                          </a:ln>
                        </pic:spPr>
                      </pic:pic>
                    </a:graphicData>
                  </a:graphic>
                </wp:inline>
              </w:drawing>
            </w:r>
            <w:r>
              <w:rPr>
                <w:color w:val="auto"/>
                <w:highlight w:val="none"/>
              </w:rPr>
              <w:t>75.47%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⑷其他渠道</w:t>
            </w:r>
          </w:p>
        </w:tc>
        <w:tc>
          <w:tcPr>
            <w:tcW w:w="0" w:type="auto"/>
            <w:shd w:val="clear" w:color="auto" w:fill="F9F9F9"/>
            <w:vAlign w:val="center"/>
          </w:tcPr>
          <w:p>
            <w:pPr>
              <w:jc w:val="center"/>
              <w:rPr>
                <w:color w:val="auto"/>
                <w:highlight w:val="none"/>
              </w:rPr>
            </w:pPr>
            <w:r>
              <w:rPr>
                <w:color w:val="auto"/>
                <w:highlight w:val="none"/>
              </w:rPr>
              <w:t>75</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628650" cy="114300"/>
                  <wp:effectExtent l="0" t="0" r="0" b="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32" cstate="print"/>
                          <a:stretch>
                            <a:fillRect/>
                          </a:stretch>
                        </pic:blipFill>
                        <pic:spPr>
                          <a:xfrm>
                            <a:off x="0" y="0"/>
                            <a:ext cx="628650" cy="114300"/>
                          </a:xfrm>
                          <a:prstGeom prst="rect">
                            <a:avLst/>
                          </a:prstGeom>
                          <a:noFill/>
                          <a:ln>
                            <a:noFill/>
                          </a:ln>
                        </pic:spPr>
                      </pic:pic>
                    </a:graphicData>
                  </a:graphic>
                </wp:inline>
              </w:drawing>
            </w:r>
            <w:r>
              <w:rPr>
                <w:color w:val="auto"/>
                <w:highlight w:val="none"/>
              </w:rPr>
              <w:drawing>
                <wp:inline distT="0" distB="0" distL="114300" distR="114300">
                  <wp:extent cx="723900" cy="114300"/>
                  <wp:effectExtent l="0" t="0" r="0" b="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33" cstate="print"/>
                          <a:stretch>
                            <a:fillRect/>
                          </a:stretch>
                        </pic:blipFill>
                        <pic:spPr>
                          <a:xfrm>
                            <a:off x="0" y="0"/>
                            <a:ext cx="723900" cy="114300"/>
                          </a:xfrm>
                          <a:prstGeom prst="rect">
                            <a:avLst/>
                          </a:prstGeom>
                          <a:noFill/>
                          <a:ln>
                            <a:noFill/>
                          </a:ln>
                        </pic:spPr>
                      </pic:pic>
                    </a:graphicData>
                  </a:graphic>
                </wp:inline>
              </w:drawing>
            </w:r>
            <w:r>
              <w:rPr>
                <w:color w:val="auto"/>
                <w:highlight w:val="none"/>
              </w:rPr>
              <w:t>47.17%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⑸不了解</w:t>
            </w:r>
          </w:p>
        </w:tc>
        <w:tc>
          <w:tcPr>
            <w:tcW w:w="0" w:type="auto"/>
            <w:shd w:val="clear" w:color="auto" w:fill="FFFFFF"/>
            <w:vAlign w:val="center"/>
          </w:tcPr>
          <w:p>
            <w:pPr>
              <w:jc w:val="center"/>
              <w:rPr>
                <w:color w:val="auto"/>
                <w:highlight w:val="none"/>
              </w:rPr>
            </w:pPr>
            <w:r>
              <w:rPr>
                <w:color w:val="auto"/>
                <w:highlight w:val="none"/>
              </w:rPr>
              <w:t>10</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76200" cy="114300"/>
                  <wp:effectExtent l="0" t="0" r="0" b="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4" cstate="print"/>
                          <a:stretch>
                            <a:fillRect/>
                          </a:stretch>
                        </pic:blipFill>
                        <pic:spPr>
                          <a:xfrm>
                            <a:off x="0" y="0"/>
                            <a:ext cx="76200" cy="114300"/>
                          </a:xfrm>
                          <a:prstGeom prst="rect">
                            <a:avLst/>
                          </a:prstGeom>
                          <a:noFill/>
                          <a:ln>
                            <a:noFill/>
                          </a:ln>
                        </pic:spPr>
                      </pic:pic>
                    </a:graphicData>
                  </a:graphic>
                </wp:inline>
              </w:drawing>
            </w:r>
            <w:r>
              <w:rPr>
                <w:color w:val="auto"/>
                <w:highlight w:val="none"/>
              </w:rPr>
              <w:drawing>
                <wp:inline distT="0" distB="0" distL="114300" distR="114300">
                  <wp:extent cx="1276350" cy="114300"/>
                  <wp:effectExtent l="0" t="0" r="0" b="0"/>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pic:cNvPicPr>
                        </pic:nvPicPr>
                        <pic:blipFill>
                          <a:blip r:embed="rId35" cstate="print"/>
                          <a:stretch>
                            <a:fillRect/>
                          </a:stretch>
                        </pic:blipFill>
                        <pic:spPr>
                          <a:xfrm>
                            <a:off x="0" y="0"/>
                            <a:ext cx="1276350" cy="114300"/>
                          </a:xfrm>
                          <a:prstGeom prst="rect">
                            <a:avLst/>
                          </a:prstGeom>
                          <a:noFill/>
                          <a:ln>
                            <a:noFill/>
                          </a:ln>
                        </pic:spPr>
                      </pic:pic>
                    </a:graphicData>
                  </a:graphic>
                </wp:inline>
              </w:drawing>
            </w:r>
            <w:r>
              <w:rPr>
                <w:color w:val="auto"/>
                <w:highlight w:val="none"/>
              </w:rPr>
              <w:t>6.29%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第4题   您认为影响松材线虫病防控成效的主要因素有哪些?      [多选题]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重视不够</w:t>
            </w:r>
          </w:p>
        </w:tc>
        <w:tc>
          <w:tcPr>
            <w:tcW w:w="0" w:type="auto"/>
            <w:shd w:val="clear" w:color="auto" w:fill="FFFFFF"/>
            <w:vAlign w:val="center"/>
          </w:tcPr>
          <w:p>
            <w:pPr>
              <w:jc w:val="center"/>
              <w:rPr>
                <w:color w:val="auto"/>
                <w:highlight w:val="none"/>
              </w:rPr>
            </w:pPr>
            <w:r>
              <w:rPr>
                <w:color w:val="auto"/>
                <w:highlight w:val="none"/>
              </w:rPr>
              <w:t>42</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352425" cy="114300"/>
                  <wp:effectExtent l="0" t="0" r="9525"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36" cstate="print"/>
                          <a:stretch>
                            <a:fillRect/>
                          </a:stretch>
                        </pic:blipFill>
                        <pic:spPr>
                          <a:xfrm>
                            <a:off x="0" y="0"/>
                            <a:ext cx="352425" cy="114300"/>
                          </a:xfrm>
                          <a:prstGeom prst="rect">
                            <a:avLst/>
                          </a:prstGeom>
                          <a:noFill/>
                          <a:ln>
                            <a:noFill/>
                          </a:ln>
                        </pic:spPr>
                      </pic:pic>
                    </a:graphicData>
                  </a:graphic>
                </wp:inline>
              </w:drawing>
            </w:r>
            <w:r>
              <w:rPr>
                <w:color w:val="auto"/>
                <w:highlight w:val="none"/>
              </w:rPr>
              <w:drawing>
                <wp:inline distT="0" distB="0" distL="114300" distR="114300">
                  <wp:extent cx="1000125" cy="114300"/>
                  <wp:effectExtent l="0" t="0" r="9525" b="0"/>
                  <wp:docPr id="5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
                          <pic:cNvPicPr>
                            <a:picLocks noChangeAspect="1"/>
                          </pic:cNvPicPr>
                        </pic:nvPicPr>
                        <pic:blipFill>
                          <a:blip r:embed="rId37" cstate="print"/>
                          <a:stretch>
                            <a:fillRect/>
                          </a:stretch>
                        </pic:blipFill>
                        <pic:spPr>
                          <a:xfrm>
                            <a:off x="0" y="0"/>
                            <a:ext cx="1000125" cy="114300"/>
                          </a:xfrm>
                          <a:prstGeom prst="rect">
                            <a:avLst/>
                          </a:prstGeom>
                          <a:noFill/>
                          <a:ln>
                            <a:noFill/>
                          </a:ln>
                        </pic:spPr>
                      </pic:pic>
                    </a:graphicData>
                  </a:graphic>
                </wp:inline>
              </w:drawing>
            </w:r>
            <w:r>
              <w:rPr>
                <w:color w:val="auto"/>
                <w:highlight w:val="none"/>
              </w:rPr>
              <w:t>26.42%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资金制约</w:t>
            </w:r>
          </w:p>
        </w:tc>
        <w:tc>
          <w:tcPr>
            <w:tcW w:w="0" w:type="auto"/>
            <w:shd w:val="clear" w:color="auto" w:fill="F9F9F9"/>
            <w:vAlign w:val="center"/>
          </w:tcPr>
          <w:p>
            <w:pPr>
              <w:jc w:val="center"/>
              <w:rPr>
                <w:color w:val="auto"/>
                <w:highlight w:val="none"/>
              </w:rPr>
            </w:pPr>
            <w:r>
              <w:rPr>
                <w:color w:val="auto"/>
                <w:highlight w:val="none"/>
              </w:rPr>
              <w:t>97</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819150" cy="114300"/>
                  <wp:effectExtent l="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pic:cNvPicPr>
                        </pic:nvPicPr>
                        <pic:blipFill>
                          <a:blip r:embed="rId38" cstate="print"/>
                          <a:stretch>
                            <a:fillRect/>
                          </a:stretch>
                        </pic:blipFill>
                        <pic:spPr>
                          <a:xfrm>
                            <a:off x="0" y="0"/>
                            <a:ext cx="819150" cy="114300"/>
                          </a:xfrm>
                          <a:prstGeom prst="rect">
                            <a:avLst/>
                          </a:prstGeom>
                          <a:noFill/>
                          <a:ln>
                            <a:noFill/>
                          </a:ln>
                        </pic:spPr>
                      </pic:pic>
                    </a:graphicData>
                  </a:graphic>
                </wp:inline>
              </w:drawing>
            </w:r>
            <w:r>
              <w:rPr>
                <w:color w:val="auto"/>
                <w:highlight w:val="none"/>
              </w:rPr>
              <w:drawing>
                <wp:inline distT="0" distB="0" distL="114300" distR="114300">
                  <wp:extent cx="533400" cy="114300"/>
                  <wp:effectExtent l="0" t="0" r="0" b="0"/>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39" cstate="print"/>
                          <a:stretch>
                            <a:fillRect/>
                          </a:stretch>
                        </pic:blipFill>
                        <pic:spPr>
                          <a:xfrm>
                            <a:off x="0" y="0"/>
                            <a:ext cx="533400" cy="114300"/>
                          </a:xfrm>
                          <a:prstGeom prst="rect">
                            <a:avLst/>
                          </a:prstGeom>
                          <a:noFill/>
                          <a:ln>
                            <a:noFill/>
                          </a:ln>
                        </pic:spPr>
                      </pic:pic>
                    </a:graphicData>
                  </a:graphic>
                </wp:inline>
              </w:drawing>
            </w:r>
            <w:r>
              <w:rPr>
                <w:color w:val="auto"/>
                <w:highlight w:val="none"/>
              </w:rPr>
              <w:t>61.01%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技术缺乏</w:t>
            </w:r>
          </w:p>
        </w:tc>
        <w:tc>
          <w:tcPr>
            <w:tcW w:w="0" w:type="auto"/>
            <w:shd w:val="clear" w:color="auto" w:fill="FFFFFF"/>
            <w:vAlign w:val="center"/>
          </w:tcPr>
          <w:p>
            <w:pPr>
              <w:jc w:val="center"/>
              <w:rPr>
                <w:color w:val="auto"/>
                <w:highlight w:val="none"/>
              </w:rPr>
            </w:pPr>
            <w:r>
              <w:rPr>
                <w:color w:val="auto"/>
                <w:highlight w:val="none"/>
              </w:rPr>
              <w:t>87</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733425" cy="114300"/>
                  <wp:effectExtent l="0" t="0" r="9525" b="0"/>
                  <wp:docPr id="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5"/>
                          <pic:cNvPicPr>
                            <a:picLocks noChangeAspect="1"/>
                          </pic:cNvPicPr>
                        </pic:nvPicPr>
                        <pic:blipFill>
                          <a:blip r:embed="rId40" cstate="print"/>
                          <a:stretch>
                            <a:fillRect/>
                          </a:stretch>
                        </pic:blipFill>
                        <pic:spPr>
                          <a:xfrm>
                            <a:off x="0" y="0"/>
                            <a:ext cx="733425" cy="114300"/>
                          </a:xfrm>
                          <a:prstGeom prst="rect">
                            <a:avLst/>
                          </a:prstGeom>
                          <a:noFill/>
                          <a:ln>
                            <a:noFill/>
                          </a:ln>
                        </pic:spPr>
                      </pic:pic>
                    </a:graphicData>
                  </a:graphic>
                </wp:inline>
              </w:drawing>
            </w:r>
            <w:r>
              <w:rPr>
                <w:color w:val="auto"/>
                <w:highlight w:val="none"/>
              </w:rPr>
              <w:drawing>
                <wp:inline distT="0" distB="0" distL="114300" distR="114300">
                  <wp:extent cx="619125" cy="114300"/>
                  <wp:effectExtent l="0" t="0" r="9525" b="0"/>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41" cstate="print"/>
                          <a:stretch>
                            <a:fillRect/>
                          </a:stretch>
                        </pic:blipFill>
                        <pic:spPr>
                          <a:xfrm>
                            <a:off x="0" y="0"/>
                            <a:ext cx="619125" cy="114300"/>
                          </a:xfrm>
                          <a:prstGeom prst="rect">
                            <a:avLst/>
                          </a:prstGeom>
                          <a:noFill/>
                          <a:ln>
                            <a:noFill/>
                          </a:ln>
                        </pic:spPr>
                      </pic:pic>
                    </a:graphicData>
                  </a:graphic>
                </wp:inline>
              </w:drawing>
            </w:r>
            <w:r>
              <w:rPr>
                <w:color w:val="auto"/>
                <w:highlight w:val="none"/>
              </w:rPr>
              <w:t>54.72%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人员不足</w:t>
            </w:r>
          </w:p>
        </w:tc>
        <w:tc>
          <w:tcPr>
            <w:tcW w:w="0" w:type="auto"/>
            <w:shd w:val="clear" w:color="auto" w:fill="F9F9F9"/>
            <w:vAlign w:val="center"/>
          </w:tcPr>
          <w:p>
            <w:pPr>
              <w:jc w:val="center"/>
              <w:rPr>
                <w:color w:val="auto"/>
                <w:highlight w:val="none"/>
              </w:rPr>
            </w:pPr>
            <w:r>
              <w:rPr>
                <w:color w:val="auto"/>
                <w:highlight w:val="none"/>
              </w:rPr>
              <w:t>114</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962025" cy="114300"/>
                  <wp:effectExtent l="0" t="0" r="9525" b="0"/>
                  <wp:docPr id="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pic:cNvPicPr>
                            <a:picLocks noChangeAspect="1"/>
                          </pic:cNvPicPr>
                        </pic:nvPicPr>
                        <pic:blipFill>
                          <a:blip r:embed="rId42" cstate="print"/>
                          <a:stretch>
                            <a:fillRect/>
                          </a:stretch>
                        </pic:blipFill>
                        <pic:spPr>
                          <a:xfrm>
                            <a:off x="0" y="0"/>
                            <a:ext cx="962025" cy="114300"/>
                          </a:xfrm>
                          <a:prstGeom prst="rect">
                            <a:avLst/>
                          </a:prstGeom>
                          <a:noFill/>
                          <a:ln>
                            <a:noFill/>
                          </a:ln>
                        </pic:spPr>
                      </pic:pic>
                    </a:graphicData>
                  </a:graphic>
                </wp:inline>
              </w:drawing>
            </w:r>
            <w:r>
              <w:rPr>
                <w:color w:val="auto"/>
                <w:highlight w:val="none"/>
              </w:rPr>
              <w:drawing>
                <wp:inline distT="0" distB="0" distL="114300" distR="114300">
                  <wp:extent cx="390525" cy="114300"/>
                  <wp:effectExtent l="0" t="0" r="9525" b="0"/>
                  <wp:docPr id="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pic:cNvPicPr>
                            <a:picLocks noChangeAspect="1"/>
                          </pic:cNvPicPr>
                        </pic:nvPicPr>
                        <pic:blipFill>
                          <a:blip r:embed="rId43" cstate="print"/>
                          <a:stretch>
                            <a:fillRect/>
                          </a:stretch>
                        </pic:blipFill>
                        <pic:spPr>
                          <a:xfrm>
                            <a:off x="0" y="0"/>
                            <a:ext cx="390525" cy="114300"/>
                          </a:xfrm>
                          <a:prstGeom prst="rect">
                            <a:avLst/>
                          </a:prstGeom>
                          <a:noFill/>
                          <a:ln>
                            <a:noFill/>
                          </a:ln>
                        </pic:spPr>
                      </pic:pic>
                    </a:graphicData>
                  </a:graphic>
                </wp:inline>
              </w:drawing>
            </w:r>
            <w:r>
              <w:rPr>
                <w:color w:val="auto"/>
                <w:highlight w:val="none"/>
              </w:rPr>
              <w:t>71.7%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第5题   发现受松材线虫病侵袭的松树您怎么处理      [单选题]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906"/>
        <w:gridCol w:w="908"/>
        <w:gridCol w:w="42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不为所动</w:t>
            </w:r>
          </w:p>
        </w:tc>
        <w:tc>
          <w:tcPr>
            <w:tcW w:w="0" w:type="auto"/>
            <w:shd w:val="clear" w:color="auto" w:fill="FFFFFF"/>
            <w:vAlign w:val="center"/>
          </w:tcPr>
          <w:p>
            <w:pPr>
              <w:jc w:val="center"/>
              <w:rPr>
                <w:color w:val="auto"/>
                <w:highlight w:val="none"/>
              </w:rPr>
            </w:pPr>
            <w:r>
              <w:rPr>
                <w:color w:val="auto"/>
                <w:highlight w:val="none"/>
              </w:rPr>
              <w:t>2</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9525" cy="114300"/>
                  <wp:effectExtent l="0" t="0" r="9525" b="0"/>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44"/>
                          <a:stretch>
                            <a:fillRect/>
                          </a:stretch>
                        </pic:blipFill>
                        <pic:spPr>
                          <a:xfrm>
                            <a:off x="0" y="0"/>
                            <a:ext cx="9525" cy="114300"/>
                          </a:xfrm>
                          <a:prstGeom prst="rect">
                            <a:avLst/>
                          </a:prstGeom>
                          <a:noFill/>
                          <a:ln>
                            <a:noFill/>
                          </a:ln>
                        </pic:spPr>
                      </pic:pic>
                    </a:graphicData>
                  </a:graphic>
                </wp:inline>
              </w:drawing>
            </w:r>
            <w:r>
              <w:rPr>
                <w:color w:val="auto"/>
                <w:highlight w:val="none"/>
              </w:rPr>
              <w:drawing>
                <wp:inline distT="0" distB="0" distL="114300" distR="114300">
                  <wp:extent cx="1343025" cy="114300"/>
                  <wp:effectExtent l="0" t="0" r="9525" b="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45" cstate="print"/>
                          <a:stretch>
                            <a:fillRect/>
                          </a:stretch>
                        </pic:blipFill>
                        <pic:spPr>
                          <a:xfrm>
                            <a:off x="0" y="0"/>
                            <a:ext cx="1343025" cy="114300"/>
                          </a:xfrm>
                          <a:prstGeom prst="rect">
                            <a:avLst/>
                          </a:prstGeom>
                          <a:noFill/>
                          <a:ln>
                            <a:noFill/>
                          </a:ln>
                        </pic:spPr>
                      </pic:pic>
                    </a:graphicData>
                  </a:graphic>
                </wp:inline>
              </w:drawing>
            </w:r>
            <w:r>
              <w:rPr>
                <w:color w:val="auto"/>
                <w:highlight w:val="none"/>
              </w:rPr>
              <w:t>1.26%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上报当地林业部门</w:t>
            </w:r>
          </w:p>
        </w:tc>
        <w:tc>
          <w:tcPr>
            <w:tcW w:w="0" w:type="auto"/>
            <w:shd w:val="clear" w:color="auto" w:fill="F9F9F9"/>
            <w:vAlign w:val="center"/>
          </w:tcPr>
          <w:p>
            <w:pPr>
              <w:jc w:val="center"/>
              <w:rPr>
                <w:color w:val="auto"/>
                <w:highlight w:val="none"/>
              </w:rPr>
            </w:pPr>
            <w:r>
              <w:rPr>
                <w:color w:val="auto"/>
                <w:highlight w:val="none"/>
              </w:rPr>
              <w:t>130</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1104900" cy="114300"/>
                  <wp:effectExtent l="0" t="0" r="0" b="0"/>
                  <wp:docPr id="8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1"/>
                          <pic:cNvPicPr>
                            <a:picLocks noChangeAspect="1"/>
                          </pic:cNvPicPr>
                        </pic:nvPicPr>
                        <pic:blipFill>
                          <a:blip r:embed="rId46" cstate="print"/>
                          <a:stretch>
                            <a:fillRect/>
                          </a:stretch>
                        </pic:blipFill>
                        <pic:spPr>
                          <a:xfrm>
                            <a:off x="0" y="0"/>
                            <a:ext cx="1104900" cy="114300"/>
                          </a:xfrm>
                          <a:prstGeom prst="rect">
                            <a:avLst/>
                          </a:prstGeom>
                          <a:noFill/>
                          <a:ln>
                            <a:noFill/>
                          </a:ln>
                        </pic:spPr>
                      </pic:pic>
                    </a:graphicData>
                  </a:graphic>
                </wp:inline>
              </w:drawing>
            </w:r>
            <w:r>
              <w:rPr>
                <w:color w:val="auto"/>
                <w:highlight w:val="none"/>
              </w:rPr>
              <w:drawing>
                <wp:inline distT="0" distB="0" distL="114300" distR="114300">
                  <wp:extent cx="247650" cy="114300"/>
                  <wp:effectExtent l="0" t="0" r="0" b="0"/>
                  <wp:docPr id="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
                          <pic:cNvPicPr>
                            <a:picLocks noChangeAspect="1"/>
                          </pic:cNvPicPr>
                        </pic:nvPicPr>
                        <pic:blipFill>
                          <a:blip r:embed="rId47" cstate="print"/>
                          <a:stretch>
                            <a:fillRect/>
                          </a:stretch>
                        </pic:blipFill>
                        <pic:spPr>
                          <a:xfrm>
                            <a:off x="0" y="0"/>
                            <a:ext cx="247650" cy="114300"/>
                          </a:xfrm>
                          <a:prstGeom prst="rect">
                            <a:avLst/>
                          </a:prstGeom>
                          <a:noFill/>
                          <a:ln>
                            <a:noFill/>
                          </a:ln>
                        </pic:spPr>
                      </pic:pic>
                    </a:graphicData>
                  </a:graphic>
                </wp:inline>
              </w:drawing>
            </w:r>
            <w:r>
              <w:rPr>
                <w:color w:val="auto"/>
                <w:highlight w:val="none"/>
              </w:rPr>
              <w:t>81.76%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将病树砍倒并集中圈地焚烧</w:t>
            </w:r>
          </w:p>
        </w:tc>
        <w:tc>
          <w:tcPr>
            <w:tcW w:w="0" w:type="auto"/>
            <w:shd w:val="clear" w:color="auto" w:fill="FFFFFF"/>
            <w:vAlign w:val="center"/>
          </w:tcPr>
          <w:p>
            <w:pPr>
              <w:jc w:val="center"/>
              <w:rPr>
                <w:color w:val="auto"/>
                <w:highlight w:val="none"/>
              </w:rPr>
            </w:pPr>
            <w:r>
              <w:rPr>
                <w:color w:val="auto"/>
                <w:highlight w:val="none"/>
              </w:rPr>
              <w:t>27</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228600" cy="114300"/>
                  <wp:effectExtent l="0" t="0" r="0" b="0"/>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pic:cNvPicPr>
                        </pic:nvPicPr>
                        <pic:blipFill>
                          <a:blip r:embed="rId48" cstate="print"/>
                          <a:stretch>
                            <a:fillRect/>
                          </a:stretch>
                        </pic:blipFill>
                        <pic:spPr>
                          <a:xfrm>
                            <a:off x="0" y="0"/>
                            <a:ext cx="228600" cy="114300"/>
                          </a:xfrm>
                          <a:prstGeom prst="rect">
                            <a:avLst/>
                          </a:prstGeom>
                          <a:noFill/>
                          <a:ln>
                            <a:noFill/>
                          </a:ln>
                        </pic:spPr>
                      </pic:pic>
                    </a:graphicData>
                  </a:graphic>
                </wp:inline>
              </w:drawing>
            </w:r>
            <w:r>
              <w:rPr>
                <w:color w:val="auto"/>
                <w:highlight w:val="none"/>
              </w:rPr>
              <w:drawing>
                <wp:inline distT="0" distB="0" distL="114300" distR="114300">
                  <wp:extent cx="1123950" cy="114300"/>
                  <wp:effectExtent l="0" t="0" r="0" b="0"/>
                  <wp:docPr id="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4"/>
                          <pic:cNvPicPr>
                            <a:picLocks noChangeAspect="1"/>
                          </pic:cNvPicPr>
                        </pic:nvPicPr>
                        <pic:blipFill>
                          <a:blip r:embed="rId49" cstate="print"/>
                          <a:stretch>
                            <a:fillRect/>
                          </a:stretch>
                        </pic:blipFill>
                        <pic:spPr>
                          <a:xfrm>
                            <a:off x="0" y="0"/>
                            <a:ext cx="1123950" cy="114300"/>
                          </a:xfrm>
                          <a:prstGeom prst="rect">
                            <a:avLst/>
                          </a:prstGeom>
                          <a:noFill/>
                          <a:ln>
                            <a:noFill/>
                          </a:ln>
                        </pic:spPr>
                      </pic:pic>
                    </a:graphicData>
                  </a:graphic>
                </wp:inline>
              </w:drawing>
            </w:r>
            <w:r>
              <w:rPr>
                <w:color w:val="auto"/>
                <w:highlight w:val="none"/>
              </w:rPr>
              <w:t>16.98%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第6题   您知道的植物病虫害的防治方式有哪些？      [多选题]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植物检验检疫</w:t>
            </w:r>
          </w:p>
        </w:tc>
        <w:tc>
          <w:tcPr>
            <w:tcW w:w="0" w:type="auto"/>
            <w:shd w:val="clear" w:color="auto" w:fill="FFFFFF"/>
            <w:vAlign w:val="center"/>
          </w:tcPr>
          <w:p>
            <w:pPr>
              <w:jc w:val="center"/>
              <w:rPr>
                <w:color w:val="auto"/>
                <w:highlight w:val="none"/>
              </w:rPr>
            </w:pPr>
            <w:r>
              <w:rPr>
                <w:color w:val="auto"/>
                <w:highlight w:val="none"/>
              </w:rPr>
              <w:t>114</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962025" cy="114300"/>
                  <wp:effectExtent l="0" t="0" r="9525" b="0"/>
                  <wp:docPr id="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pic:cNvPicPr>
                            <a:picLocks noChangeAspect="1"/>
                          </pic:cNvPicPr>
                        </pic:nvPicPr>
                        <pic:blipFill>
                          <a:blip r:embed="rId42" cstate="print"/>
                          <a:stretch>
                            <a:fillRect/>
                          </a:stretch>
                        </pic:blipFill>
                        <pic:spPr>
                          <a:xfrm>
                            <a:off x="0" y="0"/>
                            <a:ext cx="962025" cy="114300"/>
                          </a:xfrm>
                          <a:prstGeom prst="rect">
                            <a:avLst/>
                          </a:prstGeom>
                          <a:noFill/>
                          <a:ln>
                            <a:noFill/>
                          </a:ln>
                        </pic:spPr>
                      </pic:pic>
                    </a:graphicData>
                  </a:graphic>
                </wp:inline>
              </w:drawing>
            </w:r>
            <w:r>
              <w:rPr>
                <w:color w:val="auto"/>
                <w:highlight w:val="none"/>
              </w:rPr>
              <w:drawing>
                <wp:inline distT="0" distB="0" distL="114300" distR="114300">
                  <wp:extent cx="390525" cy="114300"/>
                  <wp:effectExtent l="0" t="0" r="9525" b="0"/>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pic:cNvPicPr>
                            <a:picLocks noChangeAspect="1"/>
                          </pic:cNvPicPr>
                        </pic:nvPicPr>
                        <pic:blipFill>
                          <a:blip r:embed="rId43" cstate="print"/>
                          <a:stretch>
                            <a:fillRect/>
                          </a:stretch>
                        </pic:blipFill>
                        <pic:spPr>
                          <a:xfrm>
                            <a:off x="0" y="0"/>
                            <a:ext cx="390525" cy="114300"/>
                          </a:xfrm>
                          <a:prstGeom prst="rect">
                            <a:avLst/>
                          </a:prstGeom>
                          <a:noFill/>
                          <a:ln>
                            <a:noFill/>
                          </a:ln>
                        </pic:spPr>
                      </pic:pic>
                    </a:graphicData>
                  </a:graphic>
                </wp:inline>
              </w:drawing>
            </w:r>
            <w:r>
              <w:rPr>
                <w:color w:val="auto"/>
                <w:highlight w:val="none"/>
              </w:rPr>
              <w:t>71.7%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有益微生物</w:t>
            </w:r>
          </w:p>
        </w:tc>
        <w:tc>
          <w:tcPr>
            <w:tcW w:w="0" w:type="auto"/>
            <w:shd w:val="clear" w:color="auto" w:fill="F9F9F9"/>
            <w:vAlign w:val="center"/>
          </w:tcPr>
          <w:p>
            <w:pPr>
              <w:jc w:val="center"/>
              <w:rPr>
                <w:color w:val="auto"/>
                <w:highlight w:val="none"/>
              </w:rPr>
            </w:pPr>
            <w:r>
              <w:rPr>
                <w:color w:val="auto"/>
                <w:highlight w:val="none"/>
              </w:rPr>
              <w:t>83</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704850" cy="114300"/>
                  <wp:effectExtent l="0" t="0" r="0" b="0"/>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pic:cNvPicPr>
                            <a:picLocks noChangeAspect="1"/>
                          </pic:cNvPicPr>
                        </pic:nvPicPr>
                        <pic:blipFill>
                          <a:blip r:embed="rId50" cstate="print"/>
                          <a:stretch>
                            <a:fillRect/>
                          </a:stretch>
                        </pic:blipFill>
                        <pic:spPr>
                          <a:xfrm>
                            <a:off x="0" y="0"/>
                            <a:ext cx="704850" cy="114300"/>
                          </a:xfrm>
                          <a:prstGeom prst="rect">
                            <a:avLst/>
                          </a:prstGeom>
                          <a:noFill/>
                          <a:ln>
                            <a:noFill/>
                          </a:ln>
                        </pic:spPr>
                      </pic:pic>
                    </a:graphicData>
                  </a:graphic>
                </wp:inline>
              </w:drawing>
            </w:r>
            <w:r>
              <w:rPr>
                <w:color w:val="auto"/>
                <w:highlight w:val="none"/>
              </w:rPr>
              <w:drawing>
                <wp:inline distT="0" distB="0" distL="114300" distR="114300">
                  <wp:extent cx="647700" cy="114300"/>
                  <wp:effectExtent l="0" t="0" r="0" b="0"/>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pic:cNvPicPr>
                            <a:picLocks noChangeAspect="1"/>
                          </pic:cNvPicPr>
                        </pic:nvPicPr>
                        <pic:blipFill>
                          <a:blip r:embed="rId51" cstate="print"/>
                          <a:stretch>
                            <a:fillRect/>
                          </a:stretch>
                        </pic:blipFill>
                        <pic:spPr>
                          <a:xfrm>
                            <a:off x="0" y="0"/>
                            <a:ext cx="647700" cy="114300"/>
                          </a:xfrm>
                          <a:prstGeom prst="rect">
                            <a:avLst/>
                          </a:prstGeom>
                          <a:noFill/>
                          <a:ln>
                            <a:noFill/>
                          </a:ln>
                        </pic:spPr>
                      </pic:pic>
                    </a:graphicData>
                  </a:graphic>
                </wp:inline>
              </w:drawing>
            </w:r>
            <w:r>
              <w:rPr>
                <w:color w:val="auto"/>
                <w:highlight w:val="none"/>
              </w:rPr>
              <w:t>52.2%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化学农药</w:t>
            </w:r>
          </w:p>
        </w:tc>
        <w:tc>
          <w:tcPr>
            <w:tcW w:w="0" w:type="auto"/>
            <w:shd w:val="clear" w:color="auto" w:fill="FFFFFF"/>
            <w:vAlign w:val="center"/>
          </w:tcPr>
          <w:p>
            <w:pPr>
              <w:jc w:val="center"/>
              <w:rPr>
                <w:color w:val="auto"/>
                <w:highlight w:val="none"/>
              </w:rPr>
            </w:pPr>
            <w:r>
              <w:rPr>
                <w:color w:val="auto"/>
                <w:highlight w:val="none"/>
              </w:rPr>
              <w:t>93</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790575" cy="114300"/>
                  <wp:effectExtent l="0" t="0" r="9525" b="0"/>
                  <wp:docPr id="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9"/>
                          <pic:cNvPicPr>
                            <a:picLocks noChangeAspect="1"/>
                          </pic:cNvPicPr>
                        </pic:nvPicPr>
                        <pic:blipFill>
                          <a:blip r:embed="rId52" cstate="print"/>
                          <a:stretch>
                            <a:fillRect/>
                          </a:stretch>
                        </pic:blipFill>
                        <pic:spPr>
                          <a:xfrm>
                            <a:off x="0" y="0"/>
                            <a:ext cx="790575" cy="114300"/>
                          </a:xfrm>
                          <a:prstGeom prst="rect">
                            <a:avLst/>
                          </a:prstGeom>
                          <a:noFill/>
                          <a:ln>
                            <a:noFill/>
                          </a:ln>
                        </pic:spPr>
                      </pic:pic>
                    </a:graphicData>
                  </a:graphic>
                </wp:inline>
              </w:drawing>
            </w:r>
            <w:r>
              <w:rPr>
                <w:color w:val="auto"/>
                <w:highlight w:val="none"/>
              </w:rPr>
              <w:drawing>
                <wp:inline distT="0" distB="0" distL="114300" distR="114300">
                  <wp:extent cx="561975" cy="114300"/>
                  <wp:effectExtent l="0" t="0" r="9525" b="0"/>
                  <wp:docPr id="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pic:cNvPicPr>
                            <a:picLocks noChangeAspect="1"/>
                          </pic:cNvPicPr>
                        </pic:nvPicPr>
                        <pic:blipFill>
                          <a:blip r:embed="rId53" cstate="print"/>
                          <a:stretch>
                            <a:fillRect/>
                          </a:stretch>
                        </pic:blipFill>
                        <pic:spPr>
                          <a:xfrm>
                            <a:off x="0" y="0"/>
                            <a:ext cx="561975" cy="114300"/>
                          </a:xfrm>
                          <a:prstGeom prst="rect">
                            <a:avLst/>
                          </a:prstGeom>
                          <a:noFill/>
                          <a:ln>
                            <a:noFill/>
                          </a:ln>
                        </pic:spPr>
                      </pic:pic>
                    </a:graphicData>
                  </a:graphic>
                </wp:inline>
              </w:drawing>
            </w:r>
            <w:r>
              <w:rPr>
                <w:color w:val="auto"/>
                <w:highlight w:val="none"/>
              </w:rPr>
              <w:t>58.49%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病死木清理</w:t>
            </w:r>
          </w:p>
        </w:tc>
        <w:tc>
          <w:tcPr>
            <w:tcW w:w="0" w:type="auto"/>
            <w:shd w:val="clear" w:color="auto" w:fill="F9F9F9"/>
            <w:vAlign w:val="center"/>
          </w:tcPr>
          <w:p>
            <w:pPr>
              <w:jc w:val="center"/>
              <w:rPr>
                <w:color w:val="auto"/>
                <w:highlight w:val="none"/>
              </w:rPr>
            </w:pPr>
            <w:r>
              <w:rPr>
                <w:color w:val="auto"/>
                <w:highlight w:val="none"/>
              </w:rPr>
              <w:t>132</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1114425" cy="114300"/>
                  <wp:effectExtent l="0" t="0" r="9525" b="0"/>
                  <wp:docPr id="2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1"/>
                          <pic:cNvPicPr>
                            <a:picLocks noChangeAspect="1"/>
                          </pic:cNvPicPr>
                        </pic:nvPicPr>
                        <pic:blipFill>
                          <a:blip r:embed="rId54" cstate="print"/>
                          <a:stretch>
                            <a:fillRect/>
                          </a:stretch>
                        </pic:blipFill>
                        <pic:spPr>
                          <a:xfrm>
                            <a:off x="0" y="0"/>
                            <a:ext cx="1114425" cy="114300"/>
                          </a:xfrm>
                          <a:prstGeom prst="rect">
                            <a:avLst/>
                          </a:prstGeom>
                          <a:noFill/>
                          <a:ln>
                            <a:noFill/>
                          </a:ln>
                        </pic:spPr>
                      </pic:pic>
                    </a:graphicData>
                  </a:graphic>
                </wp:inline>
              </w:drawing>
            </w:r>
            <w:r>
              <w:rPr>
                <w:color w:val="auto"/>
                <w:highlight w:val="none"/>
              </w:rPr>
              <w:drawing>
                <wp:inline distT="0" distB="0" distL="114300" distR="114300">
                  <wp:extent cx="238125" cy="114300"/>
                  <wp:effectExtent l="0" t="0" r="9525" b="0"/>
                  <wp:docPr id="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2"/>
                          <pic:cNvPicPr>
                            <a:picLocks noChangeAspect="1"/>
                          </pic:cNvPicPr>
                        </pic:nvPicPr>
                        <pic:blipFill>
                          <a:blip r:embed="rId55" cstate="print"/>
                          <a:stretch>
                            <a:fillRect/>
                          </a:stretch>
                        </pic:blipFill>
                        <pic:spPr>
                          <a:xfrm>
                            <a:off x="0" y="0"/>
                            <a:ext cx="238125" cy="114300"/>
                          </a:xfrm>
                          <a:prstGeom prst="rect">
                            <a:avLst/>
                          </a:prstGeom>
                          <a:noFill/>
                          <a:ln>
                            <a:noFill/>
                          </a:ln>
                        </pic:spPr>
                      </pic:pic>
                    </a:graphicData>
                  </a:graphic>
                </wp:inline>
              </w:drawing>
            </w:r>
            <w:r>
              <w:rPr>
                <w:color w:val="auto"/>
                <w:highlight w:val="none"/>
              </w:rPr>
              <w:t>83.02%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其他</w:t>
            </w:r>
          </w:p>
        </w:tc>
        <w:tc>
          <w:tcPr>
            <w:tcW w:w="0" w:type="auto"/>
            <w:shd w:val="clear" w:color="auto" w:fill="FFFFFF"/>
            <w:vAlign w:val="center"/>
          </w:tcPr>
          <w:p>
            <w:pPr>
              <w:jc w:val="center"/>
              <w:rPr>
                <w:color w:val="auto"/>
                <w:highlight w:val="none"/>
              </w:rPr>
            </w:pPr>
            <w:r>
              <w:rPr>
                <w:color w:val="auto"/>
                <w:highlight w:val="none"/>
              </w:rPr>
              <w:t>19</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152400" cy="114300"/>
                  <wp:effectExtent l="0" t="0" r="0" b="0"/>
                  <wp:docPr id="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3"/>
                          <pic:cNvPicPr>
                            <a:picLocks noChangeAspect="1"/>
                          </pic:cNvPicPr>
                        </pic:nvPicPr>
                        <pic:blipFill>
                          <a:blip r:embed="rId56" cstate="print"/>
                          <a:stretch>
                            <a:fillRect/>
                          </a:stretch>
                        </pic:blipFill>
                        <pic:spPr>
                          <a:xfrm>
                            <a:off x="0" y="0"/>
                            <a:ext cx="152400" cy="114300"/>
                          </a:xfrm>
                          <a:prstGeom prst="rect">
                            <a:avLst/>
                          </a:prstGeom>
                          <a:noFill/>
                          <a:ln>
                            <a:noFill/>
                          </a:ln>
                        </pic:spPr>
                      </pic:pic>
                    </a:graphicData>
                  </a:graphic>
                </wp:inline>
              </w:drawing>
            </w:r>
            <w:r>
              <w:rPr>
                <w:color w:val="auto"/>
                <w:highlight w:val="none"/>
              </w:rPr>
              <w:drawing>
                <wp:inline distT="0" distB="0" distL="114300" distR="114300">
                  <wp:extent cx="1200150" cy="114300"/>
                  <wp:effectExtent l="0" t="0" r="0" b="0"/>
                  <wp:docPr id="3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4"/>
                          <pic:cNvPicPr>
                            <a:picLocks noChangeAspect="1"/>
                          </pic:cNvPicPr>
                        </pic:nvPicPr>
                        <pic:blipFill>
                          <a:blip r:embed="rId57" cstate="print"/>
                          <a:stretch>
                            <a:fillRect/>
                          </a:stretch>
                        </pic:blipFill>
                        <pic:spPr>
                          <a:xfrm>
                            <a:off x="0" y="0"/>
                            <a:ext cx="1200150" cy="114300"/>
                          </a:xfrm>
                          <a:prstGeom prst="rect">
                            <a:avLst/>
                          </a:prstGeom>
                          <a:noFill/>
                          <a:ln>
                            <a:noFill/>
                          </a:ln>
                        </pic:spPr>
                      </pic:pic>
                    </a:graphicData>
                  </a:graphic>
                </wp:inline>
              </w:drawing>
            </w:r>
            <w:r>
              <w:rPr>
                <w:color w:val="auto"/>
                <w:highlight w:val="none"/>
              </w:rPr>
              <w:t>11.95%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w:t>
      </w:r>
      <w:r>
        <w:rPr>
          <w:rFonts w:hint="eastAsia"/>
          <w:color w:val="auto"/>
          <w:sz w:val="24"/>
          <w:highlight w:val="none"/>
        </w:rPr>
        <w:t>7</w:t>
      </w:r>
      <w:r>
        <w:rPr>
          <w:color w:val="auto"/>
          <w:sz w:val="24"/>
          <w:highlight w:val="none"/>
        </w:rPr>
        <w:t>题   您认为松材线虫病的治理应着重从哪方面下手      [单选题]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物理防治</w:t>
            </w:r>
          </w:p>
        </w:tc>
        <w:tc>
          <w:tcPr>
            <w:tcW w:w="0" w:type="auto"/>
            <w:shd w:val="clear" w:color="auto" w:fill="FFFFFF"/>
            <w:vAlign w:val="center"/>
          </w:tcPr>
          <w:p>
            <w:pPr>
              <w:jc w:val="center"/>
              <w:rPr>
                <w:color w:val="auto"/>
                <w:highlight w:val="none"/>
              </w:rPr>
            </w:pPr>
            <w:r>
              <w:rPr>
                <w:color w:val="auto"/>
                <w:highlight w:val="none"/>
              </w:rPr>
              <w:t>7</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57150" cy="114300"/>
                  <wp:effectExtent l="0" t="0" r="0" b="0"/>
                  <wp:docPr id="2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3"/>
                          <pic:cNvPicPr>
                            <a:picLocks noChangeAspect="1"/>
                          </pic:cNvPicPr>
                        </pic:nvPicPr>
                        <pic:blipFill>
                          <a:blip r:embed="rId58" cstate="print"/>
                          <a:stretch>
                            <a:fillRect/>
                          </a:stretch>
                        </pic:blipFill>
                        <pic:spPr>
                          <a:xfrm>
                            <a:off x="0" y="0"/>
                            <a:ext cx="57150" cy="114300"/>
                          </a:xfrm>
                          <a:prstGeom prst="rect">
                            <a:avLst/>
                          </a:prstGeom>
                          <a:noFill/>
                          <a:ln>
                            <a:noFill/>
                          </a:ln>
                        </pic:spPr>
                      </pic:pic>
                    </a:graphicData>
                  </a:graphic>
                </wp:inline>
              </w:drawing>
            </w:r>
            <w:r>
              <w:rPr>
                <w:color w:val="auto"/>
                <w:highlight w:val="none"/>
              </w:rPr>
              <w:drawing>
                <wp:inline distT="0" distB="0" distL="114300" distR="114300">
                  <wp:extent cx="1295400" cy="114300"/>
                  <wp:effectExtent l="0" t="0" r="0" b="0"/>
                  <wp:docPr id="3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4"/>
                          <pic:cNvPicPr>
                            <a:picLocks noChangeAspect="1"/>
                          </pic:cNvPicPr>
                        </pic:nvPicPr>
                        <pic:blipFill>
                          <a:blip r:embed="rId59" cstate="print"/>
                          <a:stretch>
                            <a:fillRect/>
                          </a:stretch>
                        </pic:blipFill>
                        <pic:spPr>
                          <a:xfrm>
                            <a:off x="0" y="0"/>
                            <a:ext cx="1295400" cy="114300"/>
                          </a:xfrm>
                          <a:prstGeom prst="rect">
                            <a:avLst/>
                          </a:prstGeom>
                          <a:noFill/>
                          <a:ln>
                            <a:noFill/>
                          </a:ln>
                        </pic:spPr>
                      </pic:pic>
                    </a:graphicData>
                  </a:graphic>
                </wp:inline>
              </w:drawing>
            </w:r>
            <w:r>
              <w:rPr>
                <w:color w:val="auto"/>
                <w:highlight w:val="none"/>
              </w:rPr>
              <w:t>4.4%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化学防治</w:t>
            </w:r>
          </w:p>
        </w:tc>
        <w:tc>
          <w:tcPr>
            <w:tcW w:w="0" w:type="auto"/>
            <w:shd w:val="clear" w:color="auto" w:fill="F9F9F9"/>
            <w:vAlign w:val="center"/>
          </w:tcPr>
          <w:p>
            <w:pPr>
              <w:jc w:val="center"/>
              <w:rPr>
                <w:color w:val="auto"/>
                <w:highlight w:val="none"/>
              </w:rPr>
            </w:pPr>
            <w:r>
              <w:rPr>
                <w:color w:val="auto"/>
                <w:highlight w:val="none"/>
              </w:rPr>
              <w:t>3</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19050" cy="114300"/>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pic:cNvPicPr>
                            <a:picLocks noChangeAspect="1"/>
                          </pic:cNvPicPr>
                        </pic:nvPicPr>
                        <pic:blipFill>
                          <a:blip r:embed="rId60" cstate="print"/>
                          <a:stretch>
                            <a:fillRect/>
                          </a:stretch>
                        </pic:blipFill>
                        <pic:spPr>
                          <a:xfrm>
                            <a:off x="0" y="0"/>
                            <a:ext cx="19050" cy="114300"/>
                          </a:xfrm>
                          <a:prstGeom prst="rect">
                            <a:avLst/>
                          </a:prstGeom>
                          <a:noFill/>
                          <a:ln>
                            <a:noFill/>
                          </a:ln>
                        </pic:spPr>
                      </pic:pic>
                    </a:graphicData>
                  </a:graphic>
                </wp:inline>
              </w:drawing>
            </w:r>
            <w:r>
              <w:rPr>
                <w:color w:val="auto"/>
                <w:highlight w:val="none"/>
              </w:rPr>
              <w:drawing>
                <wp:inline distT="0" distB="0" distL="114300" distR="114300">
                  <wp:extent cx="1333500" cy="114300"/>
                  <wp:effectExtent l="0" t="0" r="0" b="0"/>
                  <wp:docPr id="1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6"/>
                          <pic:cNvPicPr>
                            <a:picLocks noChangeAspect="1"/>
                          </pic:cNvPicPr>
                        </pic:nvPicPr>
                        <pic:blipFill>
                          <a:blip r:embed="rId61" cstate="print"/>
                          <a:stretch>
                            <a:fillRect/>
                          </a:stretch>
                        </pic:blipFill>
                        <pic:spPr>
                          <a:xfrm>
                            <a:off x="0" y="0"/>
                            <a:ext cx="1333500" cy="114300"/>
                          </a:xfrm>
                          <a:prstGeom prst="rect">
                            <a:avLst/>
                          </a:prstGeom>
                          <a:noFill/>
                          <a:ln>
                            <a:noFill/>
                          </a:ln>
                        </pic:spPr>
                      </pic:pic>
                    </a:graphicData>
                  </a:graphic>
                </wp:inline>
              </w:drawing>
            </w:r>
            <w:r>
              <w:rPr>
                <w:color w:val="auto"/>
                <w:highlight w:val="none"/>
              </w:rPr>
              <w:t>1.89%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生物防治</w:t>
            </w:r>
          </w:p>
        </w:tc>
        <w:tc>
          <w:tcPr>
            <w:tcW w:w="0" w:type="auto"/>
            <w:shd w:val="clear" w:color="auto" w:fill="FFFFFF"/>
            <w:vAlign w:val="center"/>
          </w:tcPr>
          <w:p>
            <w:pPr>
              <w:jc w:val="center"/>
              <w:rPr>
                <w:color w:val="auto"/>
                <w:highlight w:val="none"/>
              </w:rPr>
            </w:pPr>
            <w:r>
              <w:rPr>
                <w:color w:val="auto"/>
                <w:highlight w:val="none"/>
              </w:rPr>
              <w:t>22</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180975" cy="114300"/>
                  <wp:effectExtent l="0" t="0" r="9525" b="0"/>
                  <wp:docPr id="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7"/>
                          <pic:cNvPicPr>
                            <a:picLocks noChangeAspect="1"/>
                          </pic:cNvPicPr>
                        </pic:nvPicPr>
                        <pic:blipFill>
                          <a:blip r:embed="rId62" cstate="print"/>
                          <a:stretch>
                            <a:fillRect/>
                          </a:stretch>
                        </pic:blipFill>
                        <pic:spPr>
                          <a:xfrm>
                            <a:off x="0" y="0"/>
                            <a:ext cx="180975" cy="114300"/>
                          </a:xfrm>
                          <a:prstGeom prst="rect">
                            <a:avLst/>
                          </a:prstGeom>
                          <a:noFill/>
                          <a:ln>
                            <a:noFill/>
                          </a:ln>
                        </pic:spPr>
                      </pic:pic>
                    </a:graphicData>
                  </a:graphic>
                </wp:inline>
              </w:drawing>
            </w:r>
            <w:r>
              <w:rPr>
                <w:color w:val="auto"/>
                <w:highlight w:val="none"/>
              </w:rPr>
              <w:drawing>
                <wp:inline distT="0" distB="0" distL="114300" distR="114300">
                  <wp:extent cx="1171575" cy="114300"/>
                  <wp:effectExtent l="0" t="0" r="9525" b="0"/>
                  <wp:docPr id="1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8"/>
                          <pic:cNvPicPr>
                            <a:picLocks noChangeAspect="1"/>
                          </pic:cNvPicPr>
                        </pic:nvPicPr>
                        <pic:blipFill>
                          <a:blip r:embed="rId63" cstate="print"/>
                          <a:stretch>
                            <a:fillRect/>
                          </a:stretch>
                        </pic:blipFill>
                        <pic:spPr>
                          <a:xfrm>
                            <a:off x="0" y="0"/>
                            <a:ext cx="1171575" cy="114300"/>
                          </a:xfrm>
                          <a:prstGeom prst="rect">
                            <a:avLst/>
                          </a:prstGeom>
                          <a:noFill/>
                          <a:ln>
                            <a:noFill/>
                          </a:ln>
                        </pic:spPr>
                      </pic:pic>
                    </a:graphicData>
                  </a:graphic>
                </wp:inline>
              </w:drawing>
            </w:r>
            <w:r>
              <w:rPr>
                <w:color w:val="auto"/>
                <w:highlight w:val="none"/>
              </w:rPr>
              <w:t>13.84%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综合防治</w:t>
            </w:r>
          </w:p>
        </w:tc>
        <w:tc>
          <w:tcPr>
            <w:tcW w:w="0" w:type="auto"/>
            <w:shd w:val="clear" w:color="auto" w:fill="F9F9F9"/>
            <w:vAlign w:val="center"/>
          </w:tcPr>
          <w:p>
            <w:pPr>
              <w:jc w:val="center"/>
              <w:rPr>
                <w:color w:val="auto"/>
                <w:highlight w:val="none"/>
              </w:rPr>
            </w:pPr>
            <w:r>
              <w:rPr>
                <w:color w:val="auto"/>
                <w:highlight w:val="none"/>
              </w:rPr>
              <w:t>127</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1076325" cy="114300"/>
                  <wp:effectExtent l="0" t="0" r="9525" b="0"/>
                  <wp:docPr id="1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9"/>
                          <pic:cNvPicPr>
                            <a:picLocks noChangeAspect="1"/>
                          </pic:cNvPicPr>
                        </pic:nvPicPr>
                        <pic:blipFill>
                          <a:blip r:embed="rId64" cstate="print"/>
                          <a:stretch>
                            <a:fillRect/>
                          </a:stretch>
                        </pic:blipFill>
                        <pic:spPr>
                          <a:xfrm>
                            <a:off x="0" y="0"/>
                            <a:ext cx="1076325" cy="114300"/>
                          </a:xfrm>
                          <a:prstGeom prst="rect">
                            <a:avLst/>
                          </a:prstGeom>
                          <a:noFill/>
                          <a:ln>
                            <a:noFill/>
                          </a:ln>
                        </pic:spPr>
                      </pic:pic>
                    </a:graphicData>
                  </a:graphic>
                </wp:inline>
              </w:drawing>
            </w:r>
            <w:r>
              <w:rPr>
                <w:color w:val="auto"/>
                <w:highlight w:val="none"/>
              </w:rPr>
              <w:drawing>
                <wp:inline distT="0" distB="0" distL="114300" distR="114300">
                  <wp:extent cx="276225" cy="114300"/>
                  <wp:effectExtent l="0" t="0" r="9525" b="0"/>
                  <wp:docPr id="1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0"/>
                          <pic:cNvPicPr>
                            <a:picLocks noChangeAspect="1"/>
                          </pic:cNvPicPr>
                        </pic:nvPicPr>
                        <pic:blipFill>
                          <a:blip r:embed="rId65" cstate="print"/>
                          <a:stretch>
                            <a:fillRect/>
                          </a:stretch>
                        </pic:blipFill>
                        <pic:spPr>
                          <a:xfrm>
                            <a:off x="0" y="0"/>
                            <a:ext cx="276225" cy="114300"/>
                          </a:xfrm>
                          <a:prstGeom prst="rect">
                            <a:avLst/>
                          </a:prstGeom>
                          <a:noFill/>
                          <a:ln>
                            <a:noFill/>
                          </a:ln>
                        </pic:spPr>
                      </pic:pic>
                    </a:graphicData>
                  </a:graphic>
                </wp:inline>
              </w:drawing>
            </w:r>
            <w:r>
              <w:rPr>
                <w:color w:val="auto"/>
                <w:highlight w:val="none"/>
              </w:rPr>
              <w:t>79.87%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w:t>
      </w:r>
      <w:r>
        <w:rPr>
          <w:rFonts w:hint="eastAsia"/>
          <w:color w:val="auto"/>
          <w:sz w:val="24"/>
          <w:highlight w:val="none"/>
        </w:rPr>
        <w:t>8</w:t>
      </w:r>
      <w:r>
        <w:rPr>
          <w:color w:val="auto"/>
          <w:sz w:val="24"/>
          <w:highlight w:val="none"/>
        </w:rPr>
        <w:t>题   您认为</w:t>
      </w:r>
      <w:r>
        <w:rPr>
          <w:rFonts w:hint="eastAsia"/>
          <w:color w:val="auto"/>
          <w:sz w:val="24"/>
          <w:highlight w:val="none"/>
        </w:rPr>
        <w:t>泉州市</w:t>
      </w:r>
      <w:r>
        <w:rPr>
          <w:color w:val="auto"/>
          <w:sz w:val="24"/>
          <w:highlight w:val="none"/>
        </w:rPr>
        <w:t>洛江区政府对松林的防治工作是否对周围生态环境有改善？      [单选题]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是</w:t>
            </w:r>
          </w:p>
        </w:tc>
        <w:tc>
          <w:tcPr>
            <w:tcW w:w="0" w:type="auto"/>
            <w:shd w:val="clear" w:color="auto" w:fill="FFFFFF"/>
            <w:vAlign w:val="center"/>
          </w:tcPr>
          <w:p>
            <w:pPr>
              <w:jc w:val="center"/>
              <w:rPr>
                <w:color w:val="auto"/>
                <w:highlight w:val="none"/>
              </w:rPr>
            </w:pPr>
            <w:r>
              <w:rPr>
                <w:color w:val="auto"/>
                <w:highlight w:val="none"/>
              </w:rPr>
              <w:t>154</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1304925" cy="114300"/>
                  <wp:effectExtent l="0" t="0" r="9525" b="0"/>
                  <wp:docPr id="2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1"/>
                          <pic:cNvPicPr>
                            <a:picLocks noChangeAspect="1"/>
                          </pic:cNvPicPr>
                        </pic:nvPicPr>
                        <pic:blipFill>
                          <a:blip r:embed="rId66" cstate="print"/>
                          <a:stretch>
                            <a:fillRect/>
                          </a:stretch>
                        </pic:blipFill>
                        <pic:spPr>
                          <a:xfrm>
                            <a:off x="0" y="0"/>
                            <a:ext cx="1304925" cy="114300"/>
                          </a:xfrm>
                          <a:prstGeom prst="rect">
                            <a:avLst/>
                          </a:prstGeom>
                          <a:noFill/>
                          <a:ln>
                            <a:noFill/>
                          </a:ln>
                        </pic:spPr>
                      </pic:pic>
                    </a:graphicData>
                  </a:graphic>
                </wp:inline>
              </w:drawing>
            </w:r>
            <w:r>
              <w:rPr>
                <w:color w:val="auto"/>
                <w:highlight w:val="none"/>
              </w:rPr>
              <w:drawing>
                <wp:inline distT="0" distB="0" distL="114300" distR="114300">
                  <wp:extent cx="47625" cy="114300"/>
                  <wp:effectExtent l="0" t="0" r="9525" b="0"/>
                  <wp:docPr id="2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2"/>
                          <pic:cNvPicPr>
                            <a:picLocks noChangeAspect="1"/>
                          </pic:cNvPicPr>
                        </pic:nvPicPr>
                        <pic:blipFill>
                          <a:blip r:embed="rId67" cstate="print"/>
                          <a:stretch>
                            <a:fillRect/>
                          </a:stretch>
                        </pic:blipFill>
                        <pic:spPr>
                          <a:xfrm>
                            <a:off x="0" y="0"/>
                            <a:ext cx="47625" cy="114300"/>
                          </a:xfrm>
                          <a:prstGeom prst="rect">
                            <a:avLst/>
                          </a:prstGeom>
                          <a:noFill/>
                          <a:ln>
                            <a:noFill/>
                          </a:ln>
                        </pic:spPr>
                      </pic:pic>
                    </a:graphicData>
                  </a:graphic>
                </wp:inline>
              </w:drawing>
            </w:r>
            <w:r>
              <w:rPr>
                <w:color w:val="auto"/>
                <w:highlight w:val="none"/>
              </w:rPr>
              <w:t>96.86%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否</w:t>
            </w:r>
          </w:p>
        </w:tc>
        <w:tc>
          <w:tcPr>
            <w:tcW w:w="0" w:type="auto"/>
            <w:shd w:val="clear" w:color="auto" w:fill="F9F9F9"/>
            <w:vAlign w:val="center"/>
          </w:tcPr>
          <w:p>
            <w:pPr>
              <w:jc w:val="center"/>
              <w:rPr>
                <w:color w:val="auto"/>
                <w:highlight w:val="none"/>
              </w:rPr>
            </w:pPr>
            <w:r>
              <w:rPr>
                <w:color w:val="auto"/>
                <w:highlight w:val="none"/>
              </w:rPr>
              <w:t>5</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38100" cy="114300"/>
                  <wp:effectExtent l="0" t="0" r="0" b="0"/>
                  <wp:docPr id="2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3"/>
                          <pic:cNvPicPr>
                            <a:picLocks noChangeAspect="1"/>
                          </pic:cNvPicPr>
                        </pic:nvPicPr>
                        <pic:blipFill>
                          <a:blip r:embed="rId68" cstate="print"/>
                          <a:stretch>
                            <a:fillRect/>
                          </a:stretch>
                        </pic:blipFill>
                        <pic:spPr>
                          <a:xfrm>
                            <a:off x="0" y="0"/>
                            <a:ext cx="38100" cy="114300"/>
                          </a:xfrm>
                          <a:prstGeom prst="rect">
                            <a:avLst/>
                          </a:prstGeom>
                          <a:noFill/>
                          <a:ln>
                            <a:noFill/>
                          </a:ln>
                        </pic:spPr>
                      </pic:pic>
                    </a:graphicData>
                  </a:graphic>
                </wp:inline>
              </w:drawing>
            </w:r>
            <w:r>
              <w:rPr>
                <w:color w:val="auto"/>
                <w:highlight w:val="none"/>
              </w:rPr>
              <w:drawing>
                <wp:inline distT="0" distB="0" distL="114300" distR="114300">
                  <wp:extent cx="1314450" cy="114300"/>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pic:cNvPicPr>
                        </pic:nvPicPr>
                        <pic:blipFill>
                          <a:blip r:embed="rId69" cstate="print"/>
                          <a:stretch>
                            <a:fillRect/>
                          </a:stretch>
                        </pic:blipFill>
                        <pic:spPr>
                          <a:xfrm>
                            <a:off x="0" y="0"/>
                            <a:ext cx="1314450" cy="114300"/>
                          </a:xfrm>
                          <a:prstGeom prst="rect">
                            <a:avLst/>
                          </a:prstGeom>
                          <a:noFill/>
                          <a:ln>
                            <a:noFill/>
                          </a:ln>
                        </pic:spPr>
                      </pic:pic>
                    </a:graphicData>
                  </a:graphic>
                </wp:inline>
              </w:drawing>
            </w:r>
            <w:r>
              <w:rPr>
                <w:color w:val="auto"/>
                <w:highlight w:val="none"/>
              </w:rPr>
              <w:t>3.14%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color w:val="auto"/>
          <w:sz w:val="24"/>
          <w:highlight w:val="none"/>
        </w:rPr>
        <w:t>第</w:t>
      </w:r>
      <w:r>
        <w:rPr>
          <w:rFonts w:hint="eastAsia"/>
          <w:color w:val="auto"/>
          <w:sz w:val="24"/>
          <w:highlight w:val="none"/>
        </w:rPr>
        <w:t>9</w:t>
      </w:r>
      <w:r>
        <w:rPr>
          <w:color w:val="auto"/>
          <w:sz w:val="24"/>
          <w:highlight w:val="none"/>
        </w:rPr>
        <w:t>题   您对</w:t>
      </w:r>
      <w:r>
        <w:rPr>
          <w:rFonts w:hint="eastAsia"/>
          <w:color w:val="auto"/>
          <w:sz w:val="24"/>
          <w:highlight w:val="none"/>
        </w:rPr>
        <w:t>泉州市</w:t>
      </w:r>
      <w:r>
        <w:rPr>
          <w:color w:val="auto"/>
          <w:sz w:val="24"/>
          <w:highlight w:val="none"/>
        </w:rPr>
        <w:t>洛江区政府对松材线虫的防治工作效果满意吗？      [单选题]</w:t>
      </w:r>
    </w:p>
    <w:p>
      <w:pPr>
        <w:rPr>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rPr>
                <w:color w:val="auto"/>
                <w:highlight w:val="none"/>
              </w:rPr>
            </w:pPr>
            <w:r>
              <w:rPr>
                <w:color w:val="auto"/>
                <w:highlight w:val="none"/>
              </w:rPr>
              <w:t>选项</w:t>
            </w:r>
          </w:p>
        </w:tc>
        <w:tc>
          <w:tcPr>
            <w:tcW w:w="0" w:type="auto"/>
            <w:shd w:val="clear" w:color="auto" w:fill="E0E0E0"/>
            <w:vAlign w:val="center"/>
          </w:tcPr>
          <w:p>
            <w:pPr>
              <w:jc w:val="center"/>
              <w:rPr>
                <w:color w:val="auto"/>
                <w:highlight w:val="none"/>
              </w:rPr>
            </w:pPr>
            <w:r>
              <w:rPr>
                <w:color w:val="auto"/>
                <w:highlight w:val="none"/>
              </w:rPr>
              <w:t>小计</w:t>
            </w:r>
          </w:p>
        </w:tc>
        <w:tc>
          <w:tcPr>
            <w:tcW w:w="0" w:type="auto"/>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非常满意</w:t>
            </w:r>
          </w:p>
        </w:tc>
        <w:tc>
          <w:tcPr>
            <w:tcW w:w="0" w:type="auto"/>
            <w:shd w:val="clear" w:color="auto" w:fill="FFFFFF"/>
            <w:vAlign w:val="center"/>
          </w:tcPr>
          <w:p>
            <w:pPr>
              <w:jc w:val="center"/>
              <w:rPr>
                <w:color w:val="auto"/>
                <w:highlight w:val="none"/>
              </w:rPr>
            </w:pPr>
            <w:r>
              <w:rPr>
                <w:color w:val="auto"/>
                <w:highlight w:val="none"/>
              </w:rPr>
              <w:t>89</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752475" cy="114300"/>
                  <wp:effectExtent l="0" t="0" r="9525" b="0"/>
                  <wp:docPr id="3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5"/>
                          <pic:cNvPicPr>
                            <a:picLocks noChangeAspect="1"/>
                          </pic:cNvPicPr>
                        </pic:nvPicPr>
                        <pic:blipFill>
                          <a:blip r:embed="rId70" cstate="print"/>
                          <a:stretch>
                            <a:fillRect/>
                          </a:stretch>
                        </pic:blipFill>
                        <pic:spPr>
                          <a:xfrm>
                            <a:off x="0" y="0"/>
                            <a:ext cx="752475" cy="114300"/>
                          </a:xfrm>
                          <a:prstGeom prst="rect">
                            <a:avLst/>
                          </a:prstGeom>
                          <a:noFill/>
                          <a:ln>
                            <a:noFill/>
                          </a:ln>
                        </pic:spPr>
                      </pic:pic>
                    </a:graphicData>
                  </a:graphic>
                </wp:inline>
              </w:drawing>
            </w:r>
            <w:r>
              <w:rPr>
                <w:color w:val="auto"/>
                <w:highlight w:val="none"/>
              </w:rPr>
              <w:drawing>
                <wp:inline distT="0" distB="0" distL="114300" distR="114300">
                  <wp:extent cx="600075" cy="114300"/>
                  <wp:effectExtent l="0" t="0" r="9525" b="0"/>
                  <wp:docPr id="3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6"/>
                          <pic:cNvPicPr>
                            <a:picLocks noChangeAspect="1"/>
                          </pic:cNvPicPr>
                        </pic:nvPicPr>
                        <pic:blipFill>
                          <a:blip r:embed="rId71" cstate="print"/>
                          <a:stretch>
                            <a:fillRect/>
                          </a:stretch>
                        </pic:blipFill>
                        <pic:spPr>
                          <a:xfrm>
                            <a:off x="0" y="0"/>
                            <a:ext cx="600075" cy="114300"/>
                          </a:xfrm>
                          <a:prstGeom prst="rect">
                            <a:avLst/>
                          </a:prstGeom>
                          <a:noFill/>
                          <a:ln>
                            <a:noFill/>
                          </a:ln>
                        </pic:spPr>
                      </pic:pic>
                    </a:graphicData>
                  </a:graphic>
                </wp:inline>
              </w:drawing>
            </w:r>
            <w:r>
              <w:rPr>
                <w:color w:val="auto"/>
                <w:highlight w:val="none"/>
              </w:rPr>
              <w:t>55.97%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满意</w:t>
            </w:r>
          </w:p>
        </w:tc>
        <w:tc>
          <w:tcPr>
            <w:tcW w:w="0" w:type="auto"/>
            <w:shd w:val="clear" w:color="auto" w:fill="F9F9F9"/>
            <w:vAlign w:val="center"/>
          </w:tcPr>
          <w:p>
            <w:pPr>
              <w:jc w:val="center"/>
              <w:rPr>
                <w:color w:val="auto"/>
                <w:highlight w:val="none"/>
              </w:rPr>
            </w:pPr>
            <w:r>
              <w:rPr>
                <w:color w:val="auto"/>
                <w:highlight w:val="none"/>
              </w:rPr>
              <w:t>58</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485775" cy="114300"/>
                  <wp:effectExtent l="0" t="0" r="9525" b="0"/>
                  <wp:docPr id="3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7"/>
                          <pic:cNvPicPr>
                            <a:picLocks noChangeAspect="1"/>
                          </pic:cNvPicPr>
                        </pic:nvPicPr>
                        <pic:blipFill>
                          <a:blip r:embed="rId72" cstate="print"/>
                          <a:stretch>
                            <a:fillRect/>
                          </a:stretch>
                        </pic:blipFill>
                        <pic:spPr>
                          <a:xfrm>
                            <a:off x="0" y="0"/>
                            <a:ext cx="485775" cy="114300"/>
                          </a:xfrm>
                          <a:prstGeom prst="rect">
                            <a:avLst/>
                          </a:prstGeom>
                          <a:noFill/>
                          <a:ln>
                            <a:noFill/>
                          </a:ln>
                        </pic:spPr>
                      </pic:pic>
                    </a:graphicData>
                  </a:graphic>
                </wp:inline>
              </w:drawing>
            </w:r>
            <w:r>
              <w:rPr>
                <w:color w:val="auto"/>
                <w:highlight w:val="none"/>
              </w:rPr>
              <w:drawing>
                <wp:inline distT="0" distB="0" distL="114300" distR="114300">
                  <wp:extent cx="866775" cy="114300"/>
                  <wp:effectExtent l="0" t="0" r="9525"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pic:cNvPicPr>
                        </pic:nvPicPr>
                        <pic:blipFill>
                          <a:blip r:embed="rId73" cstate="print"/>
                          <a:stretch>
                            <a:fillRect/>
                          </a:stretch>
                        </pic:blipFill>
                        <pic:spPr>
                          <a:xfrm>
                            <a:off x="0" y="0"/>
                            <a:ext cx="866775" cy="114300"/>
                          </a:xfrm>
                          <a:prstGeom prst="rect">
                            <a:avLst/>
                          </a:prstGeom>
                          <a:noFill/>
                          <a:ln>
                            <a:noFill/>
                          </a:ln>
                        </pic:spPr>
                      </pic:pic>
                    </a:graphicData>
                  </a:graphic>
                </wp:inline>
              </w:drawing>
            </w:r>
            <w:r>
              <w:rPr>
                <w:color w:val="auto"/>
                <w:highlight w:val="none"/>
              </w:rPr>
              <w:t>36.48%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一般</w:t>
            </w:r>
          </w:p>
        </w:tc>
        <w:tc>
          <w:tcPr>
            <w:tcW w:w="0" w:type="auto"/>
            <w:shd w:val="clear" w:color="auto" w:fill="FFFFFF"/>
            <w:vAlign w:val="center"/>
          </w:tcPr>
          <w:p>
            <w:pPr>
              <w:jc w:val="center"/>
              <w:rPr>
                <w:color w:val="auto"/>
                <w:highlight w:val="none"/>
              </w:rPr>
            </w:pPr>
            <w:r>
              <w:rPr>
                <w:color w:val="auto"/>
                <w:highlight w:val="none"/>
              </w:rPr>
              <w:t>9</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76200" cy="114300"/>
                  <wp:effectExtent l="0" t="0" r="0" b="0"/>
                  <wp:docPr id="4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9"/>
                          <pic:cNvPicPr>
                            <a:picLocks noChangeAspect="1"/>
                          </pic:cNvPicPr>
                        </pic:nvPicPr>
                        <pic:blipFill>
                          <a:blip r:embed="rId34" cstate="print"/>
                          <a:stretch>
                            <a:fillRect/>
                          </a:stretch>
                        </pic:blipFill>
                        <pic:spPr>
                          <a:xfrm>
                            <a:off x="0" y="0"/>
                            <a:ext cx="76200" cy="114300"/>
                          </a:xfrm>
                          <a:prstGeom prst="rect">
                            <a:avLst/>
                          </a:prstGeom>
                          <a:noFill/>
                          <a:ln>
                            <a:noFill/>
                          </a:ln>
                        </pic:spPr>
                      </pic:pic>
                    </a:graphicData>
                  </a:graphic>
                </wp:inline>
              </w:drawing>
            </w:r>
            <w:r>
              <w:rPr>
                <w:color w:val="auto"/>
                <w:highlight w:val="none"/>
              </w:rPr>
              <w:drawing>
                <wp:inline distT="0" distB="0" distL="114300" distR="114300">
                  <wp:extent cx="1276350" cy="114300"/>
                  <wp:effectExtent l="0" t="0" r="0" b="0"/>
                  <wp:docPr id="4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0"/>
                          <pic:cNvPicPr>
                            <a:picLocks noChangeAspect="1"/>
                          </pic:cNvPicPr>
                        </pic:nvPicPr>
                        <pic:blipFill>
                          <a:blip r:embed="rId35" cstate="print"/>
                          <a:stretch>
                            <a:fillRect/>
                          </a:stretch>
                        </pic:blipFill>
                        <pic:spPr>
                          <a:xfrm>
                            <a:off x="0" y="0"/>
                            <a:ext cx="1276350" cy="114300"/>
                          </a:xfrm>
                          <a:prstGeom prst="rect">
                            <a:avLst/>
                          </a:prstGeom>
                          <a:noFill/>
                          <a:ln>
                            <a:noFill/>
                          </a:ln>
                        </pic:spPr>
                      </pic:pic>
                    </a:graphicData>
                  </a:graphic>
                </wp:inline>
              </w:drawing>
            </w:r>
            <w:r>
              <w:rPr>
                <w:color w:val="auto"/>
                <w:highlight w:val="none"/>
              </w:rPr>
              <w:t>5.66%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pPr>
              <w:jc w:val="left"/>
              <w:rPr>
                <w:color w:val="auto"/>
                <w:highlight w:val="none"/>
              </w:rPr>
            </w:pPr>
            <w:r>
              <w:rPr>
                <w:color w:val="auto"/>
                <w:highlight w:val="none"/>
              </w:rPr>
              <w:t>不满意</w:t>
            </w:r>
          </w:p>
        </w:tc>
        <w:tc>
          <w:tcPr>
            <w:tcW w:w="0" w:type="auto"/>
            <w:shd w:val="clear" w:color="auto" w:fill="F9F9F9"/>
            <w:vAlign w:val="center"/>
          </w:tcPr>
          <w:p>
            <w:pPr>
              <w:jc w:val="center"/>
              <w:rPr>
                <w:color w:val="auto"/>
                <w:highlight w:val="none"/>
              </w:rPr>
            </w:pPr>
            <w:r>
              <w:rPr>
                <w:color w:val="auto"/>
                <w:highlight w:val="none"/>
              </w:rPr>
              <w:t>0</w:t>
            </w:r>
          </w:p>
        </w:tc>
        <w:tc>
          <w:tcPr>
            <w:tcW w:w="0" w:type="auto"/>
            <w:shd w:val="clear" w:color="auto" w:fill="F9F9F9"/>
            <w:vAlign w:val="center"/>
          </w:tcPr>
          <w:p>
            <w:pPr>
              <w:jc w:val="left"/>
              <w:rPr>
                <w:color w:val="auto"/>
                <w:highlight w:val="none"/>
              </w:rPr>
            </w:pPr>
            <w:r>
              <w:rPr>
                <w:color w:val="auto"/>
                <w:highlight w:val="none"/>
              </w:rPr>
              <w:drawing>
                <wp:inline distT="0" distB="0" distL="114300" distR="114300">
                  <wp:extent cx="1352550" cy="114300"/>
                  <wp:effectExtent l="0" t="0" r="0" b="0"/>
                  <wp:docPr id="3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1"/>
                          <pic:cNvPicPr>
                            <a:picLocks noChangeAspect="1"/>
                          </pic:cNvPicPr>
                        </pic:nvPicPr>
                        <pic:blipFill>
                          <a:blip r:embed="rId74" cstate="print"/>
                          <a:stretch>
                            <a:fillRect/>
                          </a:stretch>
                        </pic:blipFill>
                        <pic:spPr>
                          <a:xfrm>
                            <a:off x="0" y="0"/>
                            <a:ext cx="1352550" cy="114300"/>
                          </a:xfrm>
                          <a:prstGeom prst="rect">
                            <a:avLst/>
                          </a:prstGeom>
                          <a:noFill/>
                          <a:ln>
                            <a:noFill/>
                          </a:ln>
                        </pic:spPr>
                      </pic:pic>
                    </a:graphicData>
                  </a:graphic>
                </wp:inline>
              </w:drawing>
            </w:r>
            <w:r>
              <w:rPr>
                <w:color w:val="auto"/>
                <w:highlight w:val="none"/>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pPr>
              <w:jc w:val="left"/>
              <w:rPr>
                <w:color w:val="auto"/>
                <w:highlight w:val="none"/>
              </w:rPr>
            </w:pPr>
            <w:r>
              <w:rPr>
                <w:color w:val="auto"/>
                <w:highlight w:val="none"/>
              </w:rPr>
              <w:t>非常不满意</w:t>
            </w:r>
          </w:p>
        </w:tc>
        <w:tc>
          <w:tcPr>
            <w:tcW w:w="0" w:type="auto"/>
            <w:shd w:val="clear" w:color="auto" w:fill="FFFFFF"/>
            <w:vAlign w:val="center"/>
          </w:tcPr>
          <w:p>
            <w:pPr>
              <w:jc w:val="center"/>
              <w:rPr>
                <w:color w:val="auto"/>
                <w:highlight w:val="none"/>
              </w:rPr>
            </w:pPr>
            <w:r>
              <w:rPr>
                <w:color w:val="auto"/>
                <w:highlight w:val="none"/>
              </w:rPr>
              <w:t>3</w:t>
            </w:r>
          </w:p>
        </w:tc>
        <w:tc>
          <w:tcPr>
            <w:tcW w:w="0" w:type="auto"/>
            <w:shd w:val="clear" w:color="auto" w:fill="FFFFFF"/>
            <w:vAlign w:val="center"/>
          </w:tcPr>
          <w:p>
            <w:pPr>
              <w:jc w:val="left"/>
              <w:rPr>
                <w:color w:val="auto"/>
                <w:highlight w:val="none"/>
              </w:rPr>
            </w:pPr>
            <w:r>
              <w:rPr>
                <w:color w:val="auto"/>
                <w:highlight w:val="none"/>
              </w:rPr>
              <w:drawing>
                <wp:inline distT="0" distB="0" distL="114300" distR="114300">
                  <wp:extent cx="19050" cy="114300"/>
                  <wp:effectExtent l="0" t="0" r="0" b="0"/>
                  <wp:docPr id="4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2"/>
                          <pic:cNvPicPr>
                            <a:picLocks noChangeAspect="1"/>
                          </pic:cNvPicPr>
                        </pic:nvPicPr>
                        <pic:blipFill>
                          <a:blip r:embed="rId60" cstate="print"/>
                          <a:stretch>
                            <a:fillRect/>
                          </a:stretch>
                        </pic:blipFill>
                        <pic:spPr>
                          <a:xfrm>
                            <a:off x="0" y="0"/>
                            <a:ext cx="19050" cy="114300"/>
                          </a:xfrm>
                          <a:prstGeom prst="rect">
                            <a:avLst/>
                          </a:prstGeom>
                          <a:noFill/>
                          <a:ln>
                            <a:noFill/>
                          </a:ln>
                        </pic:spPr>
                      </pic:pic>
                    </a:graphicData>
                  </a:graphic>
                </wp:inline>
              </w:drawing>
            </w:r>
            <w:r>
              <w:rPr>
                <w:color w:val="auto"/>
                <w:highlight w:val="none"/>
              </w:rPr>
              <w:drawing>
                <wp:inline distT="0" distB="0" distL="114300" distR="114300">
                  <wp:extent cx="1333500" cy="114300"/>
                  <wp:effectExtent l="0" t="0" r="0" b="0"/>
                  <wp:docPr id="4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3"/>
                          <pic:cNvPicPr>
                            <a:picLocks noChangeAspect="1"/>
                          </pic:cNvPicPr>
                        </pic:nvPicPr>
                        <pic:blipFill>
                          <a:blip r:embed="rId61" cstate="print"/>
                          <a:stretch>
                            <a:fillRect/>
                          </a:stretch>
                        </pic:blipFill>
                        <pic:spPr>
                          <a:xfrm>
                            <a:off x="0" y="0"/>
                            <a:ext cx="1333500" cy="114300"/>
                          </a:xfrm>
                          <a:prstGeom prst="rect">
                            <a:avLst/>
                          </a:prstGeom>
                          <a:noFill/>
                          <a:ln>
                            <a:noFill/>
                          </a:ln>
                        </pic:spPr>
                      </pic:pic>
                    </a:graphicData>
                  </a:graphic>
                </wp:inline>
              </w:drawing>
            </w:r>
            <w:r>
              <w:rPr>
                <w:color w:val="auto"/>
                <w:highlight w:val="none"/>
              </w:rPr>
              <w:t>1.89%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left"/>
              <w:rPr>
                <w:color w:val="auto"/>
                <w:highlight w:val="none"/>
              </w:rPr>
            </w:pPr>
            <w:r>
              <w:rPr>
                <w:color w:val="auto"/>
                <w:highlight w:val="none"/>
              </w:rPr>
              <w:t>本题有效填写人次</w:t>
            </w:r>
          </w:p>
        </w:tc>
        <w:tc>
          <w:tcPr>
            <w:tcW w:w="0" w:type="auto"/>
            <w:shd w:val="clear" w:color="auto" w:fill="E0E0E0"/>
            <w:vAlign w:val="center"/>
          </w:tcPr>
          <w:p>
            <w:pPr>
              <w:jc w:val="center"/>
              <w:rPr>
                <w:color w:val="auto"/>
                <w:highlight w:val="none"/>
              </w:rPr>
            </w:pPr>
            <w:r>
              <w:rPr>
                <w:color w:val="auto"/>
                <w:highlight w:val="none"/>
              </w:rPr>
              <w:t>159</w:t>
            </w:r>
          </w:p>
        </w:tc>
        <w:tc>
          <w:tcPr>
            <w:tcW w:w="0" w:type="auto"/>
            <w:shd w:val="clear" w:color="auto" w:fill="E0E0E0"/>
            <w:vAlign w:val="center"/>
          </w:tcPr>
          <w:p>
            <w:pPr>
              <w:jc w:val="left"/>
              <w:rPr>
                <w:color w:val="auto"/>
                <w:highlight w:val="none"/>
              </w:rPr>
            </w:pPr>
          </w:p>
        </w:tc>
      </w:tr>
    </w:tbl>
    <w:p>
      <w:pPr>
        <w:rPr>
          <w:color w:val="auto"/>
          <w:sz w:val="24"/>
          <w:highlight w:val="none"/>
        </w:rPr>
      </w:pPr>
      <w:r>
        <w:rPr>
          <w:color w:val="auto"/>
          <w:sz w:val="24"/>
          <w:highlight w:val="none"/>
        </w:rPr>
        <w:t>第1</w:t>
      </w:r>
      <w:r>
        <w:rPr>
          <w:rFonts w:hint="eastAsia"/>
          <w:color w:val="auto"/>
          <w:sz w:val="24"/>
          <w:highlight w:val="none"/>
        </w:rPr>
        <w:t>0</w:t>
      </w:r>
      <w:r>
        <w:rPr>
          <w:color w:val="auto"/>
          <w:sz w:val="24"/>
          <w:highlight w:val="none"/>
        </w:rPr>
        <w:t>题   您对</w:t>
      </w:r>
      <w:r>
        <w:rPr>
          <w:rFonts w:hint="eastAsia"/>
          <w:color w:val="auto"/>
          <w:sz w:val="24"/>
          <w:highlight w:val="none"/>
        </w:rPr>
        <w:t>泉州市</w:t>
      </w:r>
      <w:r>
        <w:rPr>
          <w:color w:val="auto"/>
          <w:sz w:val="24"/>
          <w:highlight w:val="none"/>
        </w:rPr>
        <w:t>洛江区政府的松材线虫防治工作有什么建议？      [填空题]</w:t>
      </w:r>
    </w:p>
    <w:p>
      <w:pPr>
        <w:pStyle w:val="2"/>
        <w:rPr>
          <w:color w:val="auto"/>
          <w:sz w:val="18"/>
          <w:szCs w:val="18"/>
          <w:highlight w:val="none"/>
        </w:rPr>
      </w:pPr>
    </w:p>
    <w:p>
      <w:pPr>
        <w:spacing w:line="360" w:lineRule="auto"/>
        <w:ind w:firstLine="480" w:firstLineChars="200"/>
        <w:rPr>
          <w:color w:val="auto"/>
          <w:sz w:val="24"/>
          <w:highlight w:val="none"/>
        </w:rPr>
      </w:pPr>
      <w:r>
        <w:rPr>
          <w:rFonts w:hint="eastAsia"/>
          <w:color w:val="auto"/>
          <w:sz w:val="24"/>
          <w:highlight w:val="none"/>
        </w:rPr>
        <w:t>1.加强管理，加强防治。</w:t>
      </w:r>
    </w:p>
    <w:p>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增强群众意识，科学有效治理</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3.综合防治，提高质量。</w:t>
      </w:r>
    </w:p>
    <w:p>
      <w:pPr>
        <w:spacing w:line="360" w:lineRule="auto"/>
        <w:ind w:firstLine="480" w:firstLineChars="200"/>
        <w:rPr>
          <w:color w:val="auto"/>
          <w:sz w:val="24"/>
          <w:highlight w:val="none"/>
        </w:rPr>
      </w:pPr>
      <w:r>
        <w:rPr>
          <w:rFonts w:hint="eastAsia"/>
          <w:color w:val="auto"/>
          <w:sz w:val="24"/>
          <w:highlight w:val="none"/>
        </w:rPr>
        <w:t>4.加大资金投，加强技术指导。</w:t>
      </w:r>
    </w:p>
    <w:p>
      <w:pPr>
        <w:spacing w:line="360" w:lineRule="auto"/>
        <w:ind w:firstLine="480" w:firstLineChars="200"/>
        <w:rPr>
          <w:color w:val="auto"/>
          <w:sz w:val="24"/>
          <w:highlight w:val="none"/>
        </w:rPr>
      </w:pPr>
      <w:r>
        <w:rPr>
          <w:rFonts w:hint="eastAsia"/>
          <w:color w:val="auto"/>
          <w:sz w:val="24"/>
          <w:highlight w:val="none"/>
        </w:rPr>
        <w:t>5.尽快把死树砍了才不会传播。</w:t>
      </w:r>
    </w:p>
    <w:p>
      <w:pPr>
        <w:spacing w:line="360" w:lineRule="auto"/>
        <w:ind w:firstLine="480" w:firstLineChars="200"/>
        <w:rPr>
          <w:color w:val="auto"/>
          <w:sz w:val="24"/>
          <w:highlight w:val="none"/>
        </w:rPr>
      </w:pPr>
      <w:r>
        <w:rPr>
          <w:rFonts w:hint="eastAsia"/>
          <w:color w:val="auto"/>
          <w:sz w:val="24"/>
          <w:highlight w:val="none"/>
        </w:rPr>
        <w:t>6.希望能防治结合，做到更好。</w:t>
      </w:r>
    </w:p>
    <w:p>
      <w:pPr>
        <w:spacing w:line="360" w:lineRule="auto"/>
        <w:ind w:firstLine="480" w:firstLineChars="200"/>
        <w:rPr>
          <w:color w:val="auto"/>
          <w:sz w:val="24"/>
          <w:highlight w:val="none"/>
        </w:rPr>
      </w:pPr>
      <w:r>
        <w:rPr>
          <w:rFonts w:hint="eastAsia"/>
          <w:color w:val="auto"/>
          <w:sz w:val="24"/>
          <w:highlight w:val="none"/>
        </w:rPr>
        <w:t>7.加强检查力度，做好预防措施，发现立即采取应对措施！</w:t>
      </w:r>
    </w:p>
    <w:p>
      <w:pPr>
        <w:spacing w:line="360" w:lineRule="auto"/>
        <w:ind w:firstLine="480" w:firstLineChars="200"/>
        <w:rPr>
          <w:color w:val="auto"/>
          <w:sz w:val="24"/>
          <w:highlight w:val="none"/>
        </w:rPr>
      </w:pPr>
      <w:r>
        <w:rPr>
          <w:rFonts w:hint="eastAsia"/>
          <w:color w:val="auto"/>
          <w:sz w:val="24"/>
          <w:highlight w:val="none"/>
        </w:rPr>
        <w:t>8.对群众多宣传防治措施及上报部门联系方式。</w:t>
      </w:r>
    </w:p>
    <w:p>
      <w:pPr>
        <w:pStyle w:val="2"/>
        <w:rPr>
          <w:color w:val="auto"/>
          <w:highlight w:val="none"/>
          <w:lang w:val="en-US"/>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shd w:val="clear" w:color="auto" w:fill="FFFFFF"/>
        <w:ind w:firstLine="560" w:firstLineChars="200"/>
        <w:rPr>
          <w:rFonts w:ascii="仿宋" w:hAnsi="仿宋" w:eastAsia="仿宋" w:cs="仿宋"/>
          <w:color w:val="auto"/>
          <w:kern w:val="0"/>
          <w:sz w:val="28"/>
          <w:szCs w:val="28"/>
          <w:highlight w:val="none"/>
        </w:rPr>
      </w:pPr>
    </w:p>
    <w:p>
      <w:pPr>
        <w:rPr>
          <w:rFonts w:hint="eastAsia" w:ascii="仿宋" w:hAnsi="仿宋" w:eastAsia="仿宋" w:cs="仿宋"/>
          <w:b/>
          <w:bCs/>
          <w:color w:val="auto"/>
          <w:kern w:val="0"/>
          <w:sz w:val="28"/>
          <w:szCs w:val="28"/>
          <w:highlight w:val="none"/>
        </w:rPr>
      </w:pPr>
      <w:bookmarkStart w:id="58" w:name="_Toc89024503"/>
      <w:bookmarkStart w:id="59" w:name="_Toc4743"/>
      <w:r>
        <w:rPr>
          <w:rFonts w:hint="eastAsia" w:ascii="仿宋" w:hAnsi="仿宋" w:eastAsia="仿宋" w:cs="仿宋"/>
          <w:b/>
          <w:bCs/>
          <w:color w:val="auto"/>
          <w:kern w:val="0"/>
          <w:sz w:val="28"/>
          <w:szCs w:val="28"/>
          <w:highlight w:val="none"/>
        </w:rPr>
        <w:br w:type="page"/>
      </w:r>
    </w:p>
    <w:p>
      <w:pPr>
        <w:shd w:val="clear" w:color="auto" w:fill="FFFFFF"/>
        <w:jc w:val="center"/>
        <w:outlineLvl w:val="0"/>
        <w:rPr>
          <w:rFonts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附件2  现场调研照片</w:t>
      </w:r>
      <w:bookmarkEnd w:id="58"/>
      <w:bookmarkEnd w:id="59"/>
    </w:p>
    <w:p>
      <w:pPr>
        <w:shd w:val="clear" w:color="auto" w:fill="FFFFFF"/>
        <w:ind w:firstLine="560" w:firstLineChars="200"/>
        <w:rPr>
          <w:rFonts w:ascii="仿宋" w:hAnsi="仿宋" w:eastAsia="仿宋" w:cs="仿宋"/>
          <w:color w:val="auto"/>
          <w:kern w:val="0"/>
          <w:sz w:val="28"/>
          <w:szCs w:val="28"/>
          <w:highlight w:val="none"/>
        </w:rPr>
      </w:pPr>
    </w:p>
    <w:p>
      <w:pPr>
        <w:pStyle w:val="2"/>
        <w:rPr>
          <w:color w:val="auto"/>
          <w:highlight w:val="none"/>
        </w:rPr>
      </w:pPr>
      <w:r>
        <w:rPr>
          <w:rFonts w:hint="eastAsia"/>
          <w:color w:val="auto"/>
          <w:highlight w:val="none"/>
          <w:lang w:val="en-US" w:bidi="ar-SA"/>
        </w:rPr>
        <w:drawing>
          <wp:inline distT="0" distB="0" distL="114300" distR="114300">
            <wp:extent cx="5614670" cy="3765550"/>
            <wp:effectExtent l="0" t="0" r="11430" b="6350"/>
            <wp:docPr id="1" name="图片 1" descr="1636973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6973244(1)"/>
                    <pic:cNvPicPr>
                      <a:picLocks noChangeAspect="1"/>
                    </pic:cNvPicPr>
                  </pic:nvPicPr>
                  <pic:blipFill>
                    <a:blip r:embed="rId75" cstate="print"/>
                    <a:stretch>
                      <a:fillRect/>
                    </a:stretch>
                  </pic:blipFill>
                  <pic:spPr>
                    <a:xfrm>
                      <a:off x="0" y="0"/>
                      <a:ext cx="5614670" cy="3765550"/>
                    </a:xfrm>
                    <a:prstGeom prst="rect">
                      <a:avLst/>
                    </a:prstGeom>
                  </pic:spPr>
                </pic:pic>
              </a:graphicData>
            </a:graphic>
          </wp:inline>
        </w:drawing>
      </w:r>
    </w:p>
    <w:p>
      <w:pPr>
        <w:rPr>
          <w:color w:val="auto"/>
          <w:highlight w:val="none"/>
        </w:rPr>
      </w:pPr>
      <w:r>
        <w:rPr>
          <w:rFonts w:hint="eastAsia"/>
          <w:color w:val="auto"/>
          <w:highlight w:val="none"/>
        </w:rPr>
        <w:drawing>
          <wp:inline distT="0" distB="0" distL="114300" distR="114300">
            <wp:extent cx="5600700" cy="3556000"/>
            <wp:effectExtent l="0" t="0" r="0" b="0"/>
            <wp:docPr id="2" name="图片 2" descr="1636973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6973299(1)"/>
                    <pic:cNvPicPr>
                      <a:picLocks noChangeAspect="1"/>
                    </pic:cNvPicPr>
                  </pic:nvPicPr>
                  <pic:blipFill>
                    <a:blip r:embed="rId76" cstate="print"/>
                    <a:stretch>
                      <a:fillRect/>
                    </a:stretch>
                  </pic:blipFill>
                  <pic:spPr>
                    <a:xfrm>
                      <a:off x="0" y="0"/>
                      <a:ext cx="5600700" cy="3556000"/>
                    </a:xfrm>
                    <a:prstGeom prst="rect">
                      <a:avLst/>
                    </a:prstGeom>
                  </pic:spPr>
                </pic:pic>
              </a:graphicData>
            </a:graphic>
          </wp:inline>
        </w:drawing>
      </w: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pPr>
                          <w:r>
                            <w:t xml:space="preserve">第 </w:t>
                          </w:r>
                          <w:r>
                            <w:fldChar w:fldCharType="begin"/>
                          </w:r>
                          <w:r>
                            <w:instrText xml:space="preserve"> PAGE  \* MERGEFORMAT </w:instrText>
                          </w:r>
                          <w:r>
                            <w:fldChar w:fldCharType="separate"/>
                          </w:r>
                          <w:r>
                            <w:t>10</w:t>
                          </w:r>
                          <w:r>
                            <w:fldChar w:fldCharType="end"/>
                          </w:r>
                          <w: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6pebnPAAAA&#10;BQEAAA8AAAAAAAAAAQAgAAAAIgAAAGRycy9kb3ducmV2LnhtbFBLAQIUABQAAAAIAIdO4kD6pZ6q&#10;tAEAAF0DAAAOAAAAAAAAAAEAIAAAAB4BAABkcnMvZTJvRG9jLnhtbFBLBQYAAAAABgAGAFkBAABE&#10;BQAAAAA=&#10;">
              <v:fill on="f" focussize="0,0"/>
              <v:stroke on="f"/>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b/>
        <w:bCs/>
      </w:rPr>
      <w:drawing>
        <wp:anchor distT="0" distB="0" distL="114300" distR="114300" simplePos="0" relativeHeight="251659264" behindDoc="0" locked="0" layoutInCell="1" allowOverlap="1">
          <wp:simplePos x="0" y="0"/>
          <wp:positionH relativeFrom="column">
            <wp:posOffset>5314315</wp:posOffset>
          </wp:positionH>
          <wp:positionV relativeFrom="paragraph">
            <wp:posOffset>-134620</wp:posOffset>
          </wp:positionV>
          <wp:extent cx="314325" cy="306705"/>
          <wp:effectExtent l="0" t="0" r="3175" b="10795"/>
          <wp:wrapSquare wrapText="bothSides"/>
          <wp:docPr id="191" name="图片 191" descr="C:\Users\ASUS\AppData\Local\Temp\WeChat Files\f186046fc3a4df704901618a4b76e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C:\Users\ASUS\AppData\Local\Temp\WeChat Files\f186046fc3a4df704901618a4b76ec6.png"/>
                  <pic:cNvPicPr>
                    <a:picLocks noChangeAspect="1" noChangeArrowheads="1"/>
                  </pic:cNvPicPr>
                </pic:nvPicPr>
                <pic:blipFill>
                  <a:blip r:embed="rId1"/>
                  <a:srcRect/>
                  <a:stretch>
                    <a:fillRect/>
                  </a:stretch>
                </pic:blipFill>
                <pic:spPr>
                  <a:xfrm>
                    <a:off x="0" y="0"/>
                    <a:ext cx="314325" cy="306705"/>
                  </a:xfrm>
                  <a:prstGeom prst="rect">
                    <a:avLst/>
                  </a:prstGeom>
                  <a:noFill/>
                  <a:ln w="9525" cmpd="sng">
                    <a:noFill/>
                    <a:miter lim="800000"/>
                    <a:headEnd/>
                    <a:tailEnd/>
                  </a:ln>
                  <a:effectLst/>
                </pic:spPr>
              </pic:pic>
            </a:graphicData>
          </a:graphic>
        </wp:anchor>
      </w:drawing>
    </w:r>
    <w:r>
      <w:rPr>
        <w:rFonts w:hint="eastAsia"/>
        <w:b/>
        <w:bCs/>
      </w:rPr>
      <w:t xml:space="preserve">                                                 泉州市招标咨询中心地方财政绩效评价所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A143C9"/>
    <w:multiLevelType w:val="singleLevel"/>
    <w:tmpl w:val="E4A143C9"/>
    <w:lvl w:ilvl="0" w:tentative="0">
      <w:start w:val="2"/>
      <w:numFmt w:val="chineseCounting"/>
      <w:suff w:val="nothing"/>
      <w:lvlText w:val="%1、"/>
      <w:lvlJc w:val="left"/>
      <w:rPr>
        <w:rFonts w:hint="eastAsia"/>
      </w:rPr>
    </w:lvl>
  </w:abstractNum>
  <w:abstractNum w:abstractNumId="1">
    <w:nsid w:val="2479D8F6"/>
    <w:multiLevelType w:val="singleLevel"/>
    <w:tmpl w:val="2479D8F6"/>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65"/>
    <w:rsid w:val="00012589"/>
    <w:rsid w:val="00015A7B"/>
    <w:rsid w:val="00016395"/>
    <w:rsid w:val="00022BD7"/>
    <w:rsid w:val="00037425"/>
    <w:rsid w:val="00043B2B"/>
    <w:rsid w:val="00044D15"/>
    <w:rsid w:val="00047707"/>
    <w:rsid w:val="00050713"/>
    <w:rsid w:val="0006166A"/>
    <w:rsid w:val="0008207B"/>
    <w:rsid w:val="00087A08"/>
    <w:rsid w:val="00090746"/>
    <w:rsid w:val="000B2358"/>
    <w:rsid w:val="000C184B"/>
    <w:rsid w:val="000C3F20"/>
    <w:rsid w:val="000D1FC3"/>
    <w:rsid w:val="000D6052"/>
    <w:rsid w:val="000E3AFB"/>
    <w:rsid w:val="000F0246"/>
    <w:rsid w:val="000F2CAD"/>
    <w:rsid w:val="000F6689"/>
    <w:rsid w:val="000F717A"/>
    <w:rsid w:val="00112BEC"/>
    <w:rsid w:val="001174C6"/>
    <w:rsid w:val="001202EE"/>
    <w:rsid w:val="00125255"/>
    <w:rsid w:val="00133E58"/>
    <w:rsid w:val="00134AB8"/>
    <w:rsid w:val="00143F27"/>
    <w:rsid w:val="00146C3E"/>
    <w:rsid w:val="00167D5E"/>
    <w:rsid w:val="00187E12"/>
    <w:rsid w:val="001940A9"/>
    <w:rsid w:val="001941D5"/>
    <w:rsid w:val="00194CDE"/>
    <w:rsid w:val="00195B44"/>
    <w:rsid w:val="001964E1"/>
    <w:rsid w:val="001C510F"/>
    <w:rsid w:val="001D2211"/>
    <w:rsid w:val="001E0D42"/>
    <w:rsid w:val="001E36DC"/>
    <w:rsid w:val="0020354B"/>
    <w:rsid w:val="00204B26"/>
    <w:rsid w:val="00205003"/>
    <w:rsid w:val="00211494"/>
    <w:rsid w:val="00220637"/>
    <w:rsid w:val="00220D2C"/>
    <w:rsid w:val="00223F93"/>
    <w:rsid w:val="00225D6D"/>
    <w:rsid w:val="002276D6"/>
    <w:rsid w:val="00227DEC"/>
    <w:rsid w:val="002356FE"/>
    <w:rsid w:val="00236366"/>
    <w:rsid w:val="002400E6"/>
    <w:rsid w:val="00241B4B"/>
    <w:rsid w:val="00244E48"/>
    <w:rsid w:val="00270174"/>
    <w:rsid w:val="0027301C"/>
    <w:rsid w:val="002734DA"/>
    <w:rsid w:val="00280AD5"/>
    <w:rsid w:val="0028227B"/>
    <w:rsid w:val="00283223"/>
    <w:rsid w:val="002975AD"/>
    <w:rsid w:val="002B0977"/>
    <w:rsid w:val="002B3DC7"/>
    <w:rsid w:val="002B4235"/>
    <w:rsid w:val="002B79AF"/>
    <w:rsid w:val="002D524B"/>
    <w:rsid w:val="002D7FC0"/>
    <w:rsid w:val="002F15B3"/>
    <w:rsid w:val="002F5EB4"/>
    <w:rsid w:val="0032027F"/>
    <w:rsid w:val="00333412"/>
    <w:rsid w:val="00336EC4"/>
    <w:rsid w:val="003374B7"/>
    <w:rsid w:val="003407A3"/>
    <w:rsid w:val="003470BF"/>
    <w:rsid w:val="00353535"/>
    <w:rsid w:val="003562A0"/>
    <w:rsid w:val="003771B8"/>
    <w:rsid w:val="00396AEA"/>
    <w:rsid w:val="003A2615"/>
    <w:rsid w:val="003A4EF2"/>
    <w:rsid w:val="003A6A51"/>
    <w:rsid w:val="003B0BDB"/>
    <w:rsid w:val="003B2026"/>
    <w:rsid w:val="003B36E6"/>
    <w:rsid w:val="003C5A1C"/>
    <w:rsid w:val="003E5DA2"/>
    <w:rsid w:val="004007C6"/>
    <w:rsid w:val="00405712"/>
    <w:rsid w:val="00410446"/>
    <w:rsid w:val="0041235D"/>
    <w:rsid w:val="00421812"/>
    <w:rsid w:val="00421FF0"/>
    <w:rsid w:val="00434F0B"/>
    <w:rsid w:val="00446E51"/>
    <w:rsid w:val="00462870"/>
    <w:rsid w:val="00467050"/>
    <w:rsid w:val="00471558"/>
    <w:rsid w:val="004725A2"/>
    <w:rsid w:val="00481044"/>
    <w:rsid w:val="00481AC9"/>
    <w:rsid w:val="00492370"/>
    <w:rsid w:val="00496130"/>
    <w:rsid w:val="0049675D"/>
    <w:rsid w:val="004A30C7"/>
    <w:rsid w:val="004A417B"/>
    <w:rsid w:val="004B728D"/>
    <w:rsid w:val="004C642D"/>
    <w:rsid w:val="004D1E47"/>
    <w:rsid w:val="004D7FBE"/>
    <w:rsid w:val="004E751C"/>
    <w:rsid w:val="004F17C1"/>
    <w:rsid w:val="004F30C9"/>
    <w:rsid w:val="004F3B4C"/>
    <w:rsid w:val="004F425C"/>
    <w:rsid w:val="005001B5"/>
    <w:rsid w:val="00514D9E"/>
    <w:rsid w:val="00522225"/>
    <w:rsid w:val="00526613"/>
    <w:rsid w:val="00547A6F"/>
    <w:rsid w:val="005537E9"/>
    <w:rsid w:val="00567CC3"/>
    <w:rsid w:val="00571682"/>
    <w:rsid w:val="00595213"/>
    <w:rsid w:val="00597A86"/>
    <w:rsid w:val="005A1086"/>
    <w:rsid w:val="005B1376"/>
    <w:rsid w:val="005B6ED7"/>
    <w:rsid w:val="005C41E0"/>
    <w:rsid w:val="005C4D8E"/>
    <w:rsid w:val="005D5C4B"/>
    <w:rsid w:val="005F7899"/>
    <w:rsid w:val="00603D57"/>
    <w:rsid w:val="00611554"/>
    <w:rsid w:val="006135E0"/>
    <w:rsid w:val="006221D2"/>
    <w:rsid w:val="00626F29"/>
    <w:rsid w:val="00632572"/>
    <w:rsid w:val="006342A8"/>
    <w:rsid w:val="0063648B"/>
    <w:rsid w:val="006448C8"/>
    <w:rsid w:val="00645DED"/>
    <w:rsid w:val="00667080"/>
    <w:rsid w:val="006807C4"/>
    <w:rsid w:val="00686ECD"/>
    <w:rsid w:val="00687B94"/>
    <w:rsid w:val="006912B3"/>
    <w:rsid w:val="00696C43"/>
    <w:rsid w:val="006A364A"/>
    <w:rsid w:val="006E6978"/>
    <w:rsid w:val="006F3549"/>
    <w:rsid w:val="006F446E"/>
    <w:rsid w:val="00702163"/>
    <w:rsid w:val="007039EE"/>
    <w:rsid w:val="00704322"/>
    <w:rsid w:val="00704E81"/>
    <w:rsid w:val="007066CD"/>
    <w:rsid w:val="00713285"/>
    <w:rsid w:val="00714BF2"/>
    <w:rsid w:val="0072016C"/>
    <w:rsid w:val="00723DD7"/>
    <w:rsid w:val="00724478"/>
    <w:rsid w:val="00726A00"/>
    <w:rsid w:val="007435DC"/>
    <w:rsid w:val="0074798B"/>
    <w:rsid w:val="00752775"/>
    <w:rsid w:val="007536B1"/>
    <w:rsid w:val="00775046"/>
    <w:rsid w:val="0078721C"/>
    <w:rsid w:val="007919CD"/>
    <w:rsid w:val="0079649C"/>
    <w:rsid w:val="007A3B43"/>
    <w:rsid w:val="007A54B1"/>
    <w:rsid w:val="007C2258"/>
    <w:rsid w:val="007C2682"/>
    <w:rsid w:val="007E08CA"/>
    <w:rsid w:val="007E4A92"/>
    <w:rsid w:val="007F10FD"/>
    <w:rsid w:val="007F34BB"/>
    <w:rsid w:val="007F4650"/>
    <w:rsid w:val="008338AE"/>
    <w:rsid w:val="008363D4"/>
    <w:rsid w:val="008433FF"/>
    <w:rsid w:val="0084659F"/>
    <w:rsid w:val="00852E8C"/>
    <w:rsid w:val="00853D25"/>
    <w:rsid w:val="00880861"/>
    <w:rsid w:val="00882897"/>
    <w:rsid w:val="00885A0D"/>
    <w:rsid w:val="00890DBD"/>
    <w:rsid w:val="0089278C"/>
    <w:rsid w:val="0089529B"/>
    <w:rsid w:val="00895C26"/>
    <w:rsid w:val="008B48AC"/>
    <w:rsid w:val="008B67AD"/>
    <w:rsid w:val="008C1527"/>
    <w:rsid w:val="008C64C9"/>
    <w:rsid w:val="008D0892"/>
    <w:rsid w:val="008D1A2B"/>
    <w:rsid w:val="008D5C12"/>
    <w:rsid w:val="008D655C"/>
    <w:rsid w:val="008F0331"/>
    <w:rsid w:val="008F2E98"/>
    <w:rsid w:val="00900263"/>
    <w:rsid w:val="00905F93"/>
    <w:rsid w:val="0091391E"/>
    <w:rsid w:val="00914BC2"/>
    <w:rsid w:val="009235FC"/>
    <w:rsid w:val="00950FC0"/>
    <w:rsid w:val="00951162"/>
    <w:rsid w:val="00961BB8"/>
    <w:rsid w:val="00963DAD"/>
    <w:rsid w:val="00983AE5"/>
    <w:rsid w:val="0098562A"/>
    <w:rsid w:val="00987CDA"/>
    <w:rsid w:val="0099161D"/>
    <w:rsid w:val="00991F87"/>
    <w:rsid w:val="009920F7"/>
    <w:rsid w:val="00994D95"/>
    <w:rsid w:val="009A518D"/>
    <w:rsid w:val="009C2209"/>
    <w:rsid w:val="009E40D5"/>
    <w:rsid w:val="009E5C2F"/>
    <w:rsid w:val="009F1D65"/>
    <w:rsid w:val="009F4025"/>
    <w:rsid w:val="00A2007D"/>
    <w:rsid w:val="00A2286B"/>
    <w:rsid w:val="00A363BD"/>
    <w:rsid w:val="00A40097"/>
    <w:rsid w:val="00A50140"/>
    <w:rsid w:val="00A512DA"/>
    <w:rsid w:val="00A74282"/>
    <w:rsid w:val="00A77B15"/>
    <w:rsid w:val="00A84C34"/>
    <w:rsid w:val="00A915FC"/>
    <w:rsid w:val="00AA1EE4"/>
    <w:rsid w:val="00AA7878"/>
    <w:rsid w:val="00AB61CC"/>
    <w:rsid w:val="00AC23B1"/>
    <w:rsid w:val="00AD08D1"/>
    <w:rsid w:val="00AD27B2"/>
    <w:rsid w:val="00AD39C1"/>
    <w:rsid w:val="00AE194F"/>
    <w:rsid w:val="00AE4407"/>
    <w:rsid w:val="00AF6E9E"/>
    <w:rsid w:val="00B024CE"/>
    <w:rsid w:val="00B036AE"/>
    <w:rsid w:val="00B303CB"/>
    <w:rsid w:val="00B47BA5"/>
    <w:rsid w:val="00B51BD3"/>
    <w:rsid w:val="00B66983"/>
    <w:rsid w:val="00B706E8"/>
    <w:rsid w:val="00B75F87"/>
    <w:rsid w:val="00B91FF0"/>
    <w:rsid w:val="00BB38E4"/>
    <w:rsid w:val="00BD3D0D"/>
    <w:rsid w:val="00BF4465"/>
    <w:rsid w:val="00C046E3"/>
    <w:rsid w:val="00C12DE0"/>
    <w:rsid w:val="00C1429D"/>
    <w:rsid w:val="00C32D93"/>
    <w:rsid w:val="00C34CB2"/>
    <w:rsid w:val="00C36C93"/>
    <w:rsid w:val="00C41D65"/>
    <w:rsid w:val="00C462AC"/>
    <w:rsid w:val="00C46A3C"/>
    <w:rsid w:val="00C558D1"/>
    <w:rsid w:val="00C55ACB"/>
    <w:rsid w:val="00C63578"/>
    <w:rsid w:val="00C660AA"/>
    <w:rsid w:val="00C67C2C"/>
    <w:rsid w:val="00C73856"/>
    <w:rsid w:val="00C742EE"/>
    <w:rsid w:val="00C87DB4"/>
    <w:rsid w:val="00C91264"/>
    <w:rsid w:val="00C92AB6"/>
    <w:rsid w:val="00CA100F"/>
    <w:rsid w:val="00CC32CE"/>
    <w:rsid w:val="00CC34DC"/>
    <w:rsid w:val="00CD6293"/>
    <w:rsid w:val="00CE3516"/>
    <w:rsid w:val="00CF3D16"/>
    <w:rsid w:val="00D11C62"/>
    <w:rsid w:val="00D1433E"/>
    <w:rsid w:val="00D155E2"/>
    <w:rsid w:val="00D15B61"/>
    <w:rsid w:val="00D16BF0"/>
    <w:rsid w:val="00D309DC"/>
    <w:rsid w:val="00D349FF"/>
    <w:rsid w:val="00D5227D"/>
    <w:rsid w:val="00D53287"/>
    <w:rsid w:val="00D803E2"/>
    <w:rsid w:val="00D8540C"/>
    <w:rsid w:val="00D85DBA"/>
    <w:rsid w:val="00DA322B"/>
    <w:rsid w:val="00DA5B1B"/>
    <w:rsid w:val="00DA6844"/>
    <w:rsid w:val="00DD5527"/>
    <w:rsid w:val="00DF3167"/>
    <w:rsid w:val="00DF38B0"/>
    <w:rsid w:val="00E01E92"/>
    <w:rsid w:val="00E122C5"/>
    <w:rsid w:val="00E233A4"/>
    <w:rsid w:val="00E2558D"/>
    <w:rsid w:val="00E340D5"/>
    <w:rsid w:val="00E43123"/>
    <w:rsid w:val="00E43B32"/>
    <w:rsid w:val="00E50C04"/>
    <w:rsid w:val="00E60A46"/>
    <w:rsid w:val="00E667B5"/>
    <w:rsid w:val="00E82574"/>
    <w:rsid w:val="00E87C8D"/>
    <w:rsid w:val="00E90068"/>
    <w:rsid w:val="00E97475"/>
    <w:rsid w:val="00EA1835"/>
    <w:rsid w:val="00EC48A6"/>
    <w:rsid w:val="00ED666D"/>
    <w:rsid w:val="00ED6D41"/>
    <w:rsid w:val="00ED7831"/>
    <w:rsid w:val="00EE290A"/>
    <w:rsid w:val="00EF08A6"/>
    <w:rsid w:val="00F21097"/>
    <w:rsid w:val="00F22F09"/>
    <w:rsid w:val="00F253A7"/>
    <w:rsid w:val="00F376A6"/>
    <w:rsid w:val="00F475B5"/>
    <w:rsid w:val="00F52500"/>
    <w:rsid w:val="00F70485"/>
    <w:rsid w:val="00F76835"/>
    <w:rsid w:val="00F808C3"/>
    <w:rsid w:val="00F819AF"/>
    <w:rsid w:val="00F82A46"/>
    <w:rsid w:val="00F92FA7"/>
    <w:rsid w:val="00FA2DBF"/>
    <w:rsid w:val="00FB1483"/>
    <w:rsid w:val="00FB2FDA"/>
    <w:rsid w:val="00FC139C"/>
    <w:rsid w:val="00FC732D"/>
    <w:rsid w:val="00FE57B8"/>
    <w:rsid w:val="00FE6C0B"/>
    <w:rsid w:val="00FF3936"/>
    <w:rsid w:val="02274F07"/>
    <w:rsid w:val="02AC15ED"/>
    <w:rsid w:val="05B2115D"/>
    <w:rsid w:val="0D953DF3"/>
    <w:rsid w:val="13656779"/>
    <w:rsid w:val="13D953C2"/>
    <w:rsid w:val="13EF249B"/>
    <w:rsid w:val="14350465"/>
    <w:rsid w:val="16836BC1"/>
    <w:rsid w:val="17EC02EE"/>
    <w:rsid w:val="19272F5D"/>
    <w:rsid w:val="1AF776D6"/>
    <w:rsid w:val="1CC45E3C"/>
    <w:rsid w:val="21C27524"/>
    <w:rsid w:val="25AB0C85"/>
    <w:rsid w:val="25D83D60"/>
    <w:rsid w:val="266F6CBA"/>
    <w:rsid w:val="27E206D5"/>
    <w:rsid w:val="29F54FA2"/>
    <w:rsid w:val="2A266B4A"/>
    <w:rsid w:val="2B7F7BE5"/>
    <w:rsid w:val="2E51161E"/>
    <w:rsid w:val="2EAE42E4"/>
    <w:rsid w:val="2F063F34"/>
    <w:rsid w:val="320B07FD"/>
    <w:rsid w:val="36EA4DA7"/>
    <w:rsid w:val="37575EE2"/>
    <w:rsid w:val="38514471"/>
    <w:rsid w:val="3D5A7B92"/>
    <w:rsid w:val="3E6E73FF"/>
    <w:rsid w:val="48792A01"/>
    <w:rsid w:val="49765DE3"/>
    <w:rsid w:val="4BFF63B1"/>
    <w:rsid w:val="4DD728CB"/>
    <w:rsid w:val="4E6A191A"/>
    <w:rsid w:val="50453BD9"/>
    <w:rsid w:val="567E247E"/>
    <w:rsid w:val="56EE72BA"/>
    <w:rsid w:val="58E47813"/>
    <w:rsid w:val="597132C9"/>
    <w:rsid w:val="5C9A73F9"/>
    <w:rsid w:val="5CC02C55"/>
    <w:rsid w:val="62425740"/>
    <w:rsid w:val="627A1D46"/>
    <w:rsid w:val="62BC7F40"/>
    <w:rsid w:val="63610174"/>
    <w:rsid w:val="64254E9F"/>
    <w:rsid w:val="679F49B0"/>
    <w:rsid w:val="6C0A2C1F"/>
    <w:rsid w:val="6EA95509"/>
    <w:rsid w:val="70070F1D"/>
    <w:rsid w:val="717C1858"/>
    <w:rsid w:val="719646C8"/>
    <w:rsid w:val="77AE3BC0"/>
    <w:rsid w:val="79F015DC"/>
    <w:rsid w:val="7AF84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32"/>
      <w:szCs w:val="32"/>
      <w:lang w:val="zh-CN" w:bidi="zh-CN"/>
    </w:rPr>
  </w:style>
  <w:style w:type="paragraph" w:styleId="4">
    <w:name w:val="Body Text Indent"/>
    <w:basedOn w:val="1"/>
    <w:next w:val="1"/>
    <w:qFormat/>
    <w:uiPriority w:val="0"/>
    <w:pPr>
      <w:spacing w:line="500" w:lineRule="exact"/>
      <w:ind w:left="1588" w:leftChars="832" w:firstLine="433" w:firstLineChars="196"/>
    </w:pPr>
    <w:rPr>
      <w:sz w:val="24"/>
    </w:rPr>
  </w:style>
  <w:style w:type="paragraph" w:styleId="5">
    <w:name w:val="toc 3"/>
    <w:basedOn w:val="1"/>
    <w:next w:val="1"/>
    <w:unhideWhenUsed/>
    <w:qFormat/>
    <w:uiPriority w:val="39"/>
    <w:pPr>
      <w:ind w:left="840" w:leftChars="400"/>
    </w:pPr>
  </w:style>
  <w:style w:type="paragraph" w:styleId="6">
    <w:name w:val="Plain Text"/>
    <w:basedOn w:val="1"/>
    <w:link w:val="24"/>
    <w:qFormat/>
    <w:uiPriority w:val="0"/>
    <w:rPr>
      <w:rFonts w:ascii="宋体" w:hAnsi="Courier New" w:cs="Courier New"/>
      <w:szCs w:val="21"/>
    </w:rPr>
  </w:style>
  <w:style w:type="paragraph" w:styleId="7">
    <w:name w:val="Balloon Text"/>
    <w:basedOn w:val="1"/>
    <w:link w:val="23"/>
    <w:semiHidden/>
    <w:unhideWhenUsed/>
    <w:qFormat/>
    <w:uiPriority w:val="99"/>
    <w:rPr>
      <w:sz w:val="18"/>
      <w:szCs w:val="18"/>
    </w:rPr>
  </w:style>
  <w:style w:type="paragraph" w:styleId="8">
    <w:name w:val="footer"/>
    <w:basedOn w:val="1"/>
    <w:link w:val="20"/>
    <w:semiHidden/>
    <w:unhideWhenUsed/>
    <w:qFormat/>
    <w:uiPriority w:val="99"/>
    <w:pPr>
      <w:tabs>
        <w:tab w:val="center" w:pos="4153"/>
        <w:tab w:val="right" w:pos="8306"/>
      </w:tabs>
      <w:snapToGrid w:val="0"/>
      <w:jc w:val="left"/>
    </w:pPr>
    <w:rPr>
      <w:sz w:val="18"/>
      <w:szCs w:val="18"/>
    </w:rPr>
  </w:style>
  <w:style w:type="paragraph" w:styleId="9">
    <w:name w:val="header"/>
    <w:basedOn w:val="1"/>
    <w:link w:val="1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8777"/>
      </w:tabs>
      <w:spacing w:line="360" w:lineRule="auto"/>
    </w:pPr>
    <w:rPr>
      <w:rFonts w:ascii="Times New Roman" w:hAnsi="Times New Roman" w:eastAsia="宋体" w:cs="Times New Roman"/>
      <w:szCs w:val="24"/>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3">
    <w:name w:val="Body Text First Indent 2"/>
    <w:basedOn w:val="4"/>
    <w:qFormat/>
    <w:uiPriority w:val="0"/>
    <w:pPr>
      <w:spacing w:after="120" w:line="240" w:lineRule="auto"/>
      <w:ind w:left="420" w:leftChars="200" w:firstLine="420" w:firstLineChars="200"/>
    </w:pPr>
    <w:rPr>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bCs/>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页眉 Char"/>
    <w:basedOn w:val="16"/>
    <w:link w:val="9"/>
    <w:semiHidden/>
    <w:qFormat/>
    <w:uiPriority w:val="99"/>
    <w:rPr>
      <w:sz w:val="18"/>
      <w:szCs w:val="18"/>
    </w:rPr>
  </w:style>
  <w:style w:type="character" w:customStyle="1" w:styleId="20">
    <w:name w:val="页脚 Char"/>
    <w:basedOn w:val="16"/>
    <w:link w:val="8"/>
    <w:semiHidden/>
    <w:qFormat/>
    <w:uiPriority w:val="99"/>
    <w:rPr>
      <w:sz w:val="18"/>
      <w:szCs w:val="18"/>
    </w:rPr>
  </w:style>
  <w:style w:type="paragraph" w:customStyle="1" w:styleId="21">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2">
    <w:name w:val="标题 1 Char"/>
    <w:basedOn w:val="16"/>
    <w:link w:val="3"/>
    <w:qFormat/>
    <w:uiPriority w:val="9"/>
    <w:rPr>
      <w:b/>
      <w:bCs/>
      <w:kern w:val="44"/>
      <w:sz w:val="44"/>
      <w:szCs w:val="44"/>
    </w:rPr>
  </w:style>
  <w:style w:type="character" w:customStyle="1" w:styleId="23">
    <w:name w:val="批注框文本 Char"/>
    <w:basedOn w:val="16"/>
    <w:link w:val="7"/>
    <w:semiHidden/>
    <w:qFormat/>
    <w:uiPriority w:val="99"/>
    <w:rPr>
      <w:sz w:val="18"/>
      <w:szCs w:val="18"/>
    </w:rPr>
  </w:style>
  <w:style w:type="character" w:customStyle="1" w:styleId="24">
    <w:name w:val="纯文本 Char"/>
    <w:basedOn w:val="16"/>
    <w:link w:val="6"/>
    <w:qFormat/>
    <w:uiPriority w:val="0"/>
    <w:rPr>
      <w:rFonts w:ascii="宋体" w:hAnsi="Courier New" w:cs="Courier New"/>
      <w:szCs w:val="21"/>
    </w:rPr>
  </w:style>
  <w:style w:type="character" w:customStyle="1" w:styleId="25">
    <w:name w:val="font11"/>
    <w:basedOn w:val="16"/>
    <w:qFormat/>
    <w:uiPriority w:val="0"/>
    <w:rPr>
      <w:rFonts w:hint="eastAsia" w:ascii="楷体" w:hAnsi="楷体" w:eastAsia="楷体" w:cs="楷体"/>
      <w:color w:val="000000"/>
      <w:sz w:val="21"/>
      <w:szCs w:val="21"/>
      <w:u w:val="none"/>
    </w:rPr>
  </w:style>
  <w:style w:type="character" w:customStyle="1" w:styleId="26">
    <w:name w:val="font31"/>
    <w:basedOn w:val="16"/>
    <w:qFormat/>
    <w:uiPriority w:val="0"/>
    <w:rPr>
      <w:rFonts w:hint="default" w:ascii="Times New Roman" w:hAnsi="Times New Roman" w:cs="Times New Roman"/>
      <w:color w:val="000000"/>
      <w:sz w:val="21"/>
      <w:szCs w:val="21"/>
      <w:u w:val="none"/>
    </w:rPr>
  </w:style>
  <w:style w:type="character" w:customStyle="1" w:styleId="27">
    <w:name w:val="font21"/>
    <w:basedOn w:val="16"/>
    <w:qFormat/>
    <w:uiPriority w:val="0"/>
    <w:rPr>
      <w:rFonts w:hint="eastAsia" w:ascii="楷体" w:hAnsi="楷体" w:eastAsia="楷体" w:cs="楷体"/>
      <w:color w:val="000000"/>
      <w:sz w:val="21"/>
      <w:szCs w:val="21"/>
      <w:u w:val="none"/>
    </w:rPr>
  </w:style>
  <w:style w:type="paragraph" w:customStyle="1" w:styleId="28">
    <w:name w:val="Char Char"/>
    <w:basedOn w:val="1"/>
    <w:qFormat/>
    <w:uiPriority w:val="0"/>
    <w:pPr>
      <w:widowControl/>
      <w:spacing w:after="160" w:line="240" w:lineRule="exact"/>
      <w:ind w:firstLine="420" w:firstLineChars="200"/>
      <w:jc w:val="left"/>
    </w:pPr>
    <w:rPr>
      <w:rFonts w:ascii="Times New Roman" w:hAnsi="Times New Roman" w:eastAsia="宋体" w:cs="Times New Roman"/>
      <w:szCs w:val="24"/>
    </w:rPr>
  </w:style>
  <w:style w:type="paragraph" w:customStyle="1" w:styleId="29">
    <w:name w:val="Char"/>
    <w:basedOn w:val="1"/>
    <w:qFormat/>
    <w:uiPriority w:val="0"/>
    <w:rPr>
      <w:rFonts w:ascii="Times New Roman" w:hAnsi="Times New Roman" w:eastAsia="宋体" w:cs="Times New Roman"/>
      <w:szCs w:val="20"/>
    </w:rPr>
  </w:style>
  <w:style w:type="paragraph" w:customStyle="1" w:styleId="30">
    <w:name w:val="Char1"/>
    <w:basedOn w:val="1"/>
    <w:qFormat/>
    <w:uiPriority w:val="0"/>
    <w:rPr>
      <w:rFonts w:ascii="Times New Roman" w:hAnsi="Times New Roman" w:eastAsia="宋体" w:cs="Times New Roman"/>
      <w:szCs w:val="20"/>
    </w:rPr>
  </w:style>
  <w:style w:type="paragraph" w:customStyle="1" w:styleId="31">
    <w:name w:val="Char2"/>
    <w:basedOn w:val="1"/>
    <w:qFormat/>
    <w:uiPriority w:val="0"/>
    <w:rPr>
      <w:rFonts w:ascii="Times New Roman" w:hAnsi="Times New Roman" w:eastAsia="宋体" w:cs="Times New Roman"/>
      <w:szCs w:val="20"/>
    </w:rPr>
  </w:style>
  <w:style w:type="paragraph" w:customStyle="1" w:styleId="32">
    <w:name w:val="WPSOffice手动目录 1"/>
    <w:qFormat/>
    <w:uiPriority w:val="0"/>
    <w:rPr>
      <w:rFonts w:asciiTheme="minorHAnsi" w:hAnsiTheme="minorHAnsi" w:eastAsiaTheme="minorEastAsia" w:cstheme="minorBidi"/>
      <w:lang w:val="en-US" w:eastAsia="zh-CN" w:bidi="ar-SA"/>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4">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5">
    <w:name w:val="Char3"/>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0" Type="http://schemas.openxmlformats.org/officeDocument/2006/relationships/fontTable" Target="fontTable.xml"/><Relationship Id="rId8" Type="http://schemas.openxmlformats.org/officeDocument/2006/relationships/image" Target="media/image4.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9C18D4-1FD6-4E37-B70B-4730CD92B8F0}">
  <ds:schemaRefs/>
</ds:datastoreItem>
</file>

<file path=docProps/app.xml><?xml version="1.0" encoding="utf-8"?>
<Properties xmlns="http://schemas.openxmlformats.org/officeDocument/2006/extended-properties" xmlns:vt="http://schemas.openxmlformats.org/officeDocument/2006/docPropsVTypes">
  <Template>Normal</Template>
  <Pages>34</Pages>
  <Words>3084</Words>
  <Characters>17582</Characters>
  <Lines>146</Lines>
  <Paragraphs>41</Paragraphs>
  <TotalTime>17</TotalTime>
  <ScaleCrop>false</ScaleCrop>
  <LinksUpToDate>false</LinksUpToDate>
  <CharactersWithSpaces>20625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2021-09-02T09:21:00Z</dcterms:created>
  <dc:creator>Windows 用户</dc:creator>
  <cp:lastModifiedBy>HP</cp:lastModifiedBy>
  <cp:lastPrinted>2021-12-08T05:16:00Z</cp:lastPrinted>
  <dcterms:modified xsi:type="dcterms:W3CDTF">2021-12-21T01:48:15Z</dcterms:modified>
  <cp:revision>211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y fmtid="{D5CDD505-2E9C-101B-9397-08002B2CF9AE}" pid="3" name="ICV">
    <vt:lpwstr>96836E5D4E704986B4DF9261CB1EED9A</vt:lpwstr>
  </property>
</Properties>
</file>