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泉洛环评〔2022〕表 号</w:t>
      </w:r>
    </w:p>
    <w:p>
      <w:pPr>
        <w:jc w:val="center"/>
      </w:pPr>
    </w:p>
    <w:p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  <w:lang w:eastAsia="zh-CN"/>
        </w:rPr>
        <w:t>宠物医疗卫生服务设施建设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>
      <w:pPr>
        <w:snapToGrid w:val="0"/>
        <w:rPr>
          <w:sz w:val="32"/>
          <w:szCs w:val="32"/>
        </w:rPr>
      </w:pPr>
    </w:p>
    <w:p>
      <w:pPr>
        <w:snapToGrid w:val="0"/>
        <w:spacing w:line="62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泉州洛江瑞鹏惠它宠物医院</w:t>
      </w:r>
      <w:r>
        <w:rPr>
          <w:rFonts w:hint="eastAsia" w:eastAsia="仿宋_GB2312"/>
          <w:sz w:val="32"/>
        </w:rPr>
        <w:t>有限公司：</w:t>
      </w:r>
    </w:p>
    <w:p>
      <w:pPr>
        <w:pStyle w:val="2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你公司报送的由</w:t>
      </w:r>
      <w:r>
        <w:rPr>
          <w:rFonts w:hint="eastAsia" w:ascii="仿宋_GB2312"/>
          <w:szCs w:val="32"/>
          <w:lang w:eastAsia="zh-CN"/>
        </w:rPr>
        <w:t>厦门森意顺环保科技</w:t>
      </w:r>
      <w:r>
        <w:rPr>
          <w:rFonts w:hint="eastAsia"/>
        </w:rPr>
        <w:t>有限公司</w:t>
      </w:r>
      <w:r>
        <w:rPr>
          <w:rFonts w:hint="eastAsia" w:ascii="仿宋_GB2312"/>
          <w:szCs w:val="32"/>
        </w:rPr>
        <w:t>编制的《</w:t>
      </w:r>
      <w:r>
        <w:rPr>
          <w:rFonts w:hint="eastAsia" w:ascii="仿宋_GB2312"/>
          <w:szCs w:val="32"/>
          <w:lang w:eastAsia="zh-CN"/>
        </w:rPr>
        <w:t>宠物医疗卫生服务设施建设</w:t>
      </w:r>
      <w:r>
        <w:rPr>
          <w:rFonts w:hint="eastAsia"/>
        </w:rPr>
        <w:t>项</w:t>
      </w:r>
      <w:r>
        <w:rPr>
          <w:rFonts w:hint="eastAsia" w:ascii="仿宋_GB2312"/>
          <w:szCs w:val="32"/>
        </w:rPr>
        <w:t>目环境影响报告表》（以下简称报告表）收悉，经研究，批复如下：</w:t>
      </w:r>
    </w:p>
    <w:p>
      <w:pPr>
        <w:pStyle w:val="2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1、该项目位于洛江区</w:t>
      </w:r>
      <w:r>
        <w:rPr>
          <w:rFonts w:hint="eastAsia" w:ascii="仿宋_GB2312"/>
          <w:szCs w:val="32"/>
          <w:lang w:eastAsia="zh-CN"/>
        </w:rPr>
        <w:t>万安街道钻石美尔奇</w:t>
      </w:r>
      <w:r>
        <w:rPr>
          <w:rFonts w:hint="eastAsia" w:ascii="仿宋_GB2312"/>
          <w:szCs w:val="32"/>
          <w:lang w:val="en-US" w:eastAsia="zh-CN"/>
        </w:rPr>
        <w:t>3号楼102、202号</w:t>
      </w:r>
      <w:r>
        <w:rPr>
          <w:rFonts w:hint="eastAsia" w:ascii="仿宋_GB2312"/>
          <w:szCs w:val="32"/>
        </w:rPr>
        <w:t>，系租赁泉州</w:t>
      </w:r>
      <w:r>
        <w:rPr>
          <w:rFonts w:hint="eastAsia" w:ascii="仿宋_GB2312"/>
          <w:szCs w:val="32"/>
          <w:lang w:eastAsia="zh-CN"/>
        </w:rPr>
        <w:t>美尔奇房地产开发</w:t>
      </w:r>
      <w:r>
        <w:rPr>
          <w:rFonts w:hint="eastAsia" w:ascii="仿宋_GB2312"/>
          <w:szCs w:val="32"/>
        </w:rPr>
        <w:t>有限公司</w:t>
      </w:r>
      <w:r>
        <w:rPr>
          <w:rFonts w:hint="eastAsia" w:ascii="仿宋_GB2312"/>
          <w:szCs w:val="32"/>
          <w:lang w:eastAsia="zh-CN"/>
        </w:rPr>
        <w:t>店铺</w:t>
      </w:r>
      <w:r>
        <w:rPr>
          <w:rFonts w:hint="eastAsia" w:ascii="仿宋_GB2312"/>
          <w:szCs w:val="32"/>
        </w:rPr>
        <w:t>进行</w:t>
      </w:r>
      <w:r>
        <w:rPr>
          <w:rFonts w:hint="eastAsia" w:ascii="仿宋_GB2312"/>
          <w:szCs w:val="32"/>
          <w:lang w:eastAsia="zh-CN"/>
        </w:rPr>
        <w:t>营业</w:t>
      </w:r>
      <w:r>
        <w:rPr>
          <w:rFonts w:hint="eastAsia" w:ascii="仿宋_GB2312"/>
          <w:szCs w:val="32"/>
        </w:rPr>
        <w:t>，</w:t>
      </w:r>
      <w:r>
        <w:rPr>
          <w:rFonts w:hint="eastAsia" w:ascii="仿宋_GB2312"/>
          <w:szCs w:val="32"/>
          <w:lang w:eastAsia="zh-CN"/>
        </w:rPr>
        <w:t>宠物医疗卫生服务设施建设</w:t>
      </w:r>
      <w:r>
        <w:rPr>
          <w:rFonts w:hint="eastAsia" w:ascii="仿宋_GB2312"/>
          <w:szCs w:val="32"/>
        </w:rPr>
        <w:t>项目</w:t>
      </w:r>
      <w:r>
        <w:rPr>
          <w:rFonts w:hint="eastAsia"/>
        </w:rPr>
        <w:t>，</w:t>
      </w:r>
      <w:r>
        <w:rPr>
          <w:rFonts w:hint="eastAsia" w:ascii="仿宋_GB2312"/>
          <w:szCs w:val="32"/>
        </w:rPr>
        <w:t>具体建设内容和生产设备以报告表为准。</w:t>
      </w:r>
    </w:p>
    <w:p>
      <w:pPr>
        <w:snapToGrid w:val="0"/>
        <w:spacing w:line="6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项目建设符合国家产业政策，选址符合洛江片区单元控制性详细规划。在全面严格落实报告表</w:t>
      </w:r>
      <w:bookmarkStart w:id="0" w:name="_GoBack"/>
      <w:bookmarkEnd w:id="0"/>
      <w:r>
        <w:rPr>
          <w:rFonts w:hint="eastAsia" w:eastAsia="仿宋_GB2312"/>
          <w:sz w:val="32"/>
        </w:rPr>
        <w:t>提出的各项生态环境保护措施后，该项目所产生的不利生态环境影响可以得到有效缓解和控制。从环境保护角度，我局原则同意报告表总体结论和生态环境保护对策措施。</w:t>
      </w:r>
    </w:p>
    <w:p>
      <w:pPr>
        <w:numPr>
          <w:ilvl w:val="0"/>
          <w:numId w:val="1"/>
        </w:numPr>
        <w:snapToGrid w:val="0"/>
        <w:spacing w:line="62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应配套建设完善的污（废）水处理设施，</w:t>
      </w:r>
      <w:r>
        <w:rPr>
          <w:rFonts w:hint="eastAsia" w:ascii="仿宋_GB2312" w:eastAsia="仿宋_GB2312"/>
          <w:sz w:val="32"/>
          <w:szCs w:val="32"/>
          <w:lang w:eastAsia="zh-CN"/>
        </w:rPr>
        <w:t>项目医疗废水、美容废水经小型医疗废水处理设备预处理后达《医疗机构水污染物排放标准》（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GB18466-2005</w:t>
      </w:r>
      <w:r>
        <w:rPr>
          <w:rFonts w:hint="eastAsia" w:ascii="仿宋_GB2312" w:eastAsia="仿宋_GB2312"/>
          <w:sz w:val="32"/>
          <w:szCs w:val="32"/>
          <w:lang w:eastAsia="zh-CN"/>
        </w:rPr>
        <w:t>）表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2预处理标准，再与</w:t>
      </w:r>
      <w:r>
        <w:rPr>
          <w:rFonts w:hint="eastAsia" w:ascii="仿宋_GB2312" w:eastAsia="仿宋_GB2312"/>
          <w:sz w:val="32"/>
          <w:szCs w:val="32"/>
        </w:rPr>
        <w:t>生活污水</w:t>
      </w:r>
      <w:r>
        <w:rPr>
          <w:rFonts w:hint="eastAsia" w:ascii="仿宋_GB2312" w:eastAsia="仿宋_GB2312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化粪池处理</w:t>
      </w:r>
      <w:r>
        <w:rPr>
          <w:rFonts w:hint="eastAsia" w:ascii="仿宋_GB2312" w:eastAsia="仿宋_GB2312"/>
          <w:sz w:val="32"/>
          <w:szCs w:val="32"/>
          <w:lang w:eastAsia="zh-CN"/>
        </w:rPr>
        <w:t>达标后</w:t>
      </w:r>
      <w:r>
        <w:rPr>
          <w:rFonts w:hint="eastAsia" w:ascii="仿宋_GB2312" w:eastAsia="仿宋_GB2312"/>
          <w:sz w:val="32"/>
          <w:szCs w:val="32"/>
        </w:rPr>
        <w:t>，通过市政污水管网排入污水处理厂处理</w:t>
      </w:r>
      <w:r>
        <w:rPr>
          <w:rFonts w:hint="eastAsia" w:ascii="仿宋_GB2312" w:eastAsia="仿宋_GB2312"/>
          <w:sz w:val="32"/>
          <w:szCs w:val="32"/>
          <w:lang w:eastAsia="zh-CN"/>
        </w:rPr>
        <w:t>。生活废水</w:t>
      </w:r>
      <w:r>
        <w:rPr>
          <w:rFonts w:hint="eastAsia" w:ascii="仿宋_GB2312" w:eastAsia="仿宋_GB2312"/>
          <w:sz w:val="32"/>
          <w:szCs w:val="32"/>
        </w:rPr>
        <w:t>排放执行《污水综合排放标准》（GB8978-1996）表4中的三级标准，其中氨氮指标执行《污水排入城镇下水道水质标准》（GB/T31962-2015）表1的B级标准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。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</w:t>
      </w:r>
      <w:r>
        <w:rPr>
          <w:rFonts w:hint="eastAsia" w:ascii="仿宋_GB2312" w:eastAsia="仿宋_GB2312"/>
          <w:sz w:val="32"/>
          <w:lang w:eastAsia="zh-CN"/>
        </w:rPr>
        <w:t>项目应加强</w:t>
      </w:r>
      <w:r>
        <w:rPr>
          <w:rFonts w:hint="eastAsia" w:ascii="仿宋_GB2312" w:eastAsia="仿宋_GB2312"/>
          <w:sz w:val="32"/>
        </w:rPr>
        <w:t>通风排气，</w:t>
      </w:r>
      <w:r>
        <w:rPr>
          <w:rFonts w:hint="eastAsia" w:ascii="仿宋_GB2312" w:eastAsia="仿宋_GB2312"/>
          <w:sz w:val="32"/>
          <w:lang w:eastAsia="zh-CN"/>
        </w:rPr>
        <w:t>通过设置新风系统、喷除臭剂等措施</w:t>
      </w:r>
      <w:r>
        <w:rPr>
          <w:rFonts w:hint="eastAsia" w:ascii="仿宋_GB2312" w:eastAsia="仿宋_GB2312"/>
          <w:sz w:val="32"/>
        </w:rPr>
        <w:t>减少异味</w:t>
      </w:r>
      <w:r>
        <w:rPr>
          <w:rFonts w:hint="eastAsia" w:ascii="仿宋_GB2312" w:eastAsia="仿宋_GB2312"/>
          <w:sz w:val="32"/>
          <w:lang w:eastAsia="zh-CN"/>
        </w:rPr>
        <w:t>影响，厂界废气排放执行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eastAsia="仿宋_GB2312"/>
          <w:sz w:val="32"/>
          <w:lang w:eastAsia="zh-CN"/>
        </w:rPr>
        <w:t>恶臭污染物排放标准</w:t>
      </w:r>
      <w:r>
        <w:rPr>
          <w:rFonts w:hint="eastAsia" w:ascii="仿宋_GB2312" w:eastAsia="仿宋_GB2312"/>
          <w:sz w:val="32"/>
        </w:rPr>
        <w:t>》（GB1</w:t>
      </w:r>
      <w:r>
        <w:rPr>
          <w:rFonts w:hint="eastAsia" w:ascii="仿宋_GB2312" w:eastAsia="仿宋_GB2312"/>
          <w:sz w:val="32"/>
          <w:lang w:val="en-US" w:eastAsia="zh-CN"/>
        </w:rPr>
        <w:t>4554</w:t>
      </w:r>
      <w:r>
        <w:rPr>
          <w:rFonts w:hint="eastAsia" w:ascii="仿宋_GB2312" w:eastAsia="仿宋_GB2312"/>
          <w:sz w:val="32"/>
        </w:rPr>
        <w:t>-</w:t>
      </w:r>
      <w:r>
        <w:rPr>
          <w:rFonts w:hint="eastAsia" w:ascii="仿宋_GB2312" w:eastAsia="仿宋_GB2312"/>
          <w:sz w:val="32"/>
          <w:lang w:val="en-US" w:eastAsia="zh-CN"/>
        </w:rPr>
        <w:t>93</w:t>
      </w:r>
      <w:r>
        <w:rPr>
          <w:rFonts w:hint="eastAsia" w:ascii="仿宋_GB2312" w:eastAsia="仿宋_GB2312"/>
          <w:sz w:val="32"/>
        </w:rPr>
        <w:t>）表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二级排放标准</w:t>
      </w:r>
      <w:r>
        <w:rPr>
          <w:rFonts w:hint="eastAsia" w:ascii="仿宋_GB2312" w:eastAsia="仿宋_GB2312"/>
          <w:sz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4、主要噪声源必须采取消声减振措施，</w:t>
      </w:r>
      <w:r>
        <w:rPr>
          <w:rFonts w:hint="eastAsia" w:ascii="仿宋_GB2312" w:eastAsia="仿宋_GB2312"/>
          <w:sz w:val="32"/>
          <w:lang w:eastAsia="zh-CN"/>
        </w:rPr>
        <w:t>边</w:t>
      </w:r>
      <w:r>
        <w:rPr>
          <w:rFonts w:hint="eastAsia" w:ascii="仿宋_GB2312" w:eastAsia="仿宋_GB2312"/>
          <w:sz w:val="32"/>
        </w:rPr>
        <w:t>界噪声排放执行《</w:t>
      </w:r>
      <w:r>
        <w:rPr>
          <w:rFonts w:hint="eastAsia" w:ascii="仿宋_GB2312" w:eastAsia="仿宋_GB2312"/>
          <w:sz w:val="32"/>
          <w:lang w:eastAsia="zh-CN"/>
        </w:rPr>
        <w:t>社会生活</w:t>
      </w:r>
      <w:r>
        <w:rPr>
          <w:rFonts w:hint="eastAsia" w:ascii="仿宋_GB2312" w:eastAsia="仿宋_GB2312"/>
          <w:sz w:val="32"/>
        </w:rPr>
        <w:t>环境噪声排放标准》（GB</w:t>
      </w:r>
      <w:r>
        <w:rPr>
          <w:rFonts w:hint="eastAsia" w:ascii="仿宋_GB2312" w:eastAsia="仿宋_GB2312"/>
          <w:sz w:val="32"/>
          <w:lang w:val="en-US" w:eastAsia="zh-CN"/>
        </w:rPr>
        <w:t>22337</w:t>
      </w:r>
      <w:r>
        <w:rPr>
          <w:rFonts w:hint="eastAsia" w:ascii="仿宋_GB2312" w:eastAsia="仿宋_GB2312"/>
          <w:sz w:val="32"/>
        </w:rPr>
        <w:t>-2008）</w:t>
      </w:r>
      <w:r>
        <w:rPr>
          <w:rFonts w:hint="eastAsia" w:ascii="仿宋_GB2312" w:eastAsia="仿宋_GB2312"/>
          <w:sz w:val="32"/>
          <w:lang w:eastAsia="zh-CN"/>
        </w:rPr>
        <w:t>表</w:t>
      </w:r>
      <w:r>
        <w:rPr>
          <w:rFonts w:hint="eastAsia" w:ascii="仿宋_GB2312" w:eastAsia="仿宋_GB2312"/>
          <w:sz w:val="32"/>
          <w:lang w:val="en-US" w:eastAsia="zh-CN"/>
        </w:rPr>
        <w:t>1中</w:t>
      </w:r>
      <w:r>
        <w:rPr>
          <w:rFonts w:hint="eastAsia" w:ascii="仿宋_GB2312" w:eastAsia="仿宋_GB2312"/>
          <w:sz w:val="32"/>
        </w:rPr>
        <w:t>2类标准。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5、</w:t>
      </w:r>
      <w:r>
        <w:rPr>
          <w:rFonts w:hint="eastAsia" w:ascii="仿宋_GB2312" w:eastAsia="仿宋_GB2312"/>
          <w:sz w:val="32"/>
          <w:szCs w:val="32"/>
        </w:rPr>
        <w:t>工业固体废物贮存、处置执行《一般工业固体废物贮存和填埋污染控制标准》（GB18599-2020）；危险废物贮存执行《危险废物贮存污染控制标准》（GB18597-2001）及其2013年修改单相关要求，并委托有资质单位进行处置。按“减量化、资源化、无害化”原则落实各类固体废物的收集、贮存、处置和综合利用措施</w:t>
      </w:r>
      <w:r>
        <w:rPr>
          <w:rFonts w:hint="eastAsia" w:ascii="仿宋_GB2312" w:eastAsia="仿宋_GB2312"/>
          <w:sz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6、污染物排放口应按有关规范设置。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 w:ascii="仿宋_GB2312" w:eastAsia="仿宋_GB2312"/>
          <w:sz w:val="32"/>
          <w:szCs w:val="32"/>
        </w:rPr>
        <w:t>应严格执行环保“三同时”制度。</w:t>
      </w:r>
      <w:r>
        <w:rPr>
          <w:rFonts w:hint="eastAsia" w:ascii="仿宋_GB2312" w:eastAsia="仿宋_GB2312"/>
          <w:color w:val="000000"/>
          <w:sz w:val="32"/>
          <w:szCs w:val="32"/>
        </w:rPr>
        <w:t>在投入生产或产生实际排污行为之前应依法申领排污许可证，按证排污。投入生产后依法组织开展竣工环境保护验收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、若项目的</w:t>
      </w:r>
      <w:r>
        <w:rPr>
          <w:rFonts w:hint="eastAsia" w:eastAsia="仿宋_GB2312"/>
          <w:sz w:val="32"/>
        </w:rPr>
        <w:t>性质、规模、地点、采用的生产工艺或者防治污染、防止生态破坏的措施发生重大变动，应</w:t>
      </w:r>
      <w:r>
        <w:rPr>
          <w:rFonts w:hint="eastAsia" w:ascii="仿宋_GB2312" w:eastAsia="仿宋_GB2312"/>
          <w:sz w:val="32"/>
        </w:rPr>
        <w:t>重新办理环境影响评价审批手续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泉州市生态环境局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Fonts w:hint="eastAsia"/>
        <w:sz w:val="21"/>
        <w:szCs w:val="21"/>
      </w:rPr>
      <w:t>页共3页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A57D"/>
    <w:multiLevelType w:val="singleLevel"/>
    <w:tmpl w:val="71A0A57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15593E34"/>
    <w:rsid w:val="204C0A1A"/>
    <w:rsid w:val="27205AAB"/>
    <w:rsid w:val="351D6058"/>
    <w:rsid w:val="37007ADE"/>
    <w:rsid w:val="408504B3"/>
    <w:rsid w:val="73DB2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207</Words>
  <Characters>1183</Characters>
  <Lines>9</Lines>
  <Paragraphs>2</Paragraphs>
  <TotalTime>30</TotalTime>
  <ScaleCrop>false</ScaleCrop>
  <LinksUpToDate>false</LinksUpToDate>
  <CharactersWithSpaces>1388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Sky123.Org</dc:creator>
  <cp:lastModifiedBy>Administrator</cp:lastModifiedBy>
  <cp:lastPrinted>2022-02-23T06:14:00Z</cp:lastPrinted>
  <dcterms:modified xsi:type="dcterms:W3CDTF">2022-06-02T08:44:29Z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