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泉洛环评〔2022〕表 号</w:t>
      </w:r>
    </w:p>
    <w:p>
      <w:pPr>
        <w:jc w:val="center"/>
      </w:pPr>
    </w:p>
    <w:p>
      <w:pPr>
        <w:jc w:val="center"/>
        <w:rPr>
          <w:spacing w:val="-2"/>
          <w:sz w:val="44"/>
          <w:szCs w:val="44"/>
        </w:rPr>
      </w:pPr>
      <w:r>
        <w:rPr>
          <w:rFonts w:hint="eastAsia"/>
          <w:spacing w:val="-2"/>
          <w:sz w:val="44"/>
          <w:szCs w:val="44"/>
        </w:rPr>
        <w:t>泉州市生态环境局关于</w:t>
      </w:r>
      <w:r>
        <w:rPr>
          <w:rFonts w:hint="eastAsia"/>
          <w:spacing w:val="-2"/>
          <w:sz w:val="44"/>
          <w:szCs w:val="44"/>
          <w:lang w:eastAsia="zh-CN"/>
        </w:rPr>
        <w:t>年加工铁件工艺品</w:t>
      </w:r>
      <w:r>
        <w:rPr>
          <w:rFonts w:hint="eastAsia"/>
          <w:spacing w:val="-2"/>
          <w:sz w:val="44"/>
          <w:szCs w:val="44"/>
          <w:lang w:val="en-US" w:eastAsia="zh-CN"/>
        </w:rPr>
        <w:t>20万件</w:t>
      </w:r>
      <w:r>
        <w:rPr>
          <w:rFonts w:hint="eastAsia"/>
          <w:spacing w:val="-2"/>
          <w:sz w:val="44"/>
          <w:szCs w:val="44"/>
        </w:rPr>
        <w:t>项目环境影响报告表的批复</w:t>
      </w:r>
    </w:p>
    <w:p>
      <w:pPr>
        <w:snapToGrid w:val="0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eastAsia="仿宋_GB2312"/>
          <w:sz w:val="32"/>
        </w:rPr>
      </w:pPr>
      <w:r>
        <w:rPr>
          <w:rFonts w:hint="eastAsia" w:eastAsia="仿宋_GB2312"/>
          <w:sz w:val="32"/>
          <w:lang w:eastAsia="zh-CN"/>
        </w:rPr>
        <w:t>泉州易龙达电子科技</w:t>
      </w:r>
      <w:r>
        <w:rPr>
          <w:rFonts w:hint="eastAsia" w:eastAsia="仿宋_GB2312"/>
          <w:sz w:val="32"/>
        </w:rPr>
        <w:t>有限公司：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你公司报送的由</w:t>
      </w:r>
      <w:r>
        <w:rPr>
          <w:rFonts w:hint="eastAsia" w:ascii="仿宋_GB2312"/>
          <w:szCs w:val="32"/>
          <w:lang w:eastAsia="zh-CN"/>
        </w:rPr>
        <w:t>深圳市福安环境技术</w:t>
      </w:r>
      <w:r>
        <w:rPr>
          <w:rFonts w:hint="eastAsia"/>
        </w:rPr>
        <w:t>有限公司</w:t>
      </w:r>
      <w:r>
        <w:rPr>
          <w:rFonts w:hint="eastAsia" w:ascii="仿宋_GB2312"/>
          <w:szCs w:val="32"/>
        </w:rPr>
        <w:t>编制的《</w:t>
      </w:r>
      <w:r>
        <w:rPr>
          <w:rFonts w:hint="eastAsia" w:ascii="仿宋_GB2312"/>
          <w:szCs w:val="32"/>
          <w:lang w:eastAsia="zh-CN"/>
        </w:rPr>
        <w:t>年加工铁件工艺品</w:t>
      </w:r>
      <w:r>
        <w:rPr>
          <w:rFonts w:hint="eastAsia" w:ascii="仿宋_GB2312"/>
          <w:szCs w:val="32"/>
          <w:lang w:val="en-US" w:eastAsia="zh-CN"/>
        </w:rPr>
        <w:t>20万件</w:t>
      </w:r>
      <w:r>
        <w:rPr>
          <w:rFonts w:hint="eastAsia"/>
        </w:rPr>
        <w:t>项</w:t>
      </w:r>
      <w:r>
        <w:rPr>
          <w:rFonts w:hint="eastAsia" w:ascii="仿宋_GB2312"/>
          <w:szCs w:val="32"/>
        </w:rPr>
        <w:t>目环境影响报告表》（以下简称报告表）收悉，经研究，批复如下：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1、该项目位于</w:t>
      </w:r>
      <w:r>
        <w:rPr>
          <w:rFonts w:hint="eastAsia" w:hAnsi="宋体"/>
          <w:color w:val="000000"/>
          <w:szCs w:val="21"/>
        </w:rPr>
        <w:t>洛江区河市镇</w:t>
      </w:r>
      <w:r>
        <w:rPr>
          <w:rFonts w:hint="eastAsia" w:hAnsi="宋体"/>
          <w:color w:val="000000"/>
          <w:szCs w:val="21"/>
          <w:lang w:eastAsia="zh-CN"/>
        </w:rPr>
        <w:t>梧宅村后埕</w:t>
      </w:r>
      <w:r>
        <w:rPr>
          <w:rFonts w:hint="eastAsia" w:hAnsi="宋体"/>
          <w:color w:val="000000"/>
          <w:szCs w:val="21"/>
        </w:rPr>
        <w:t>1</w:t>
      </w:r>
      <w:r>
        <w:rPr>
          <w:rFonts w:hint="eastAsia" w:hAnsi="宋体"/>
          <w:color w:val="000000"/>
          <w:szCs w:val="21"/>
          <w:lang w:val="en-US" w:eastAsia="zh-CN"/>
        </w:rPr>
        <w:t>17</w:t>
      </w:r>
      <w:r>
        <w:rPr>
          <w:rFonts w:hint="eastAsia" w:hAnsi="宋体"/>
          <w:color w:val="000000"/>
          <w:szCs w:val="21"/>
        </w:rPr>
        <w:t>号</w:t>
      </w:r>
      <w:r>
        <w:rPr>
          <w:rFonts w:hint="eastAsia" w:ascii="仿宋_GB2312"/>
          <w:szCs w:val="32"/>
        </w:rPr>
        <w:t>，系</w:t>
      </w:r>
      <w:r>
        <w:rPr>
          <w:rFonts w:hint="eastAsia" w:ascii="仿宋_GB2312"/>
          <w:szCs w:val="32"/>
          <w:lang w:eastAsia="zh-CN"/>
        </w:rPr>
        <w:t>租赁福建源宝轻工机械制造</w:t>
      </w:r>
      <w:r>
        <w:rPr>
          <w:rFonts w:hint="eastAsia"/>
          <w:color w:val="000000"/>
          <w:szCs w:val="21"/>
        </w:rPr>
        <w:t>有限公司</w:t>
      </w:r>
      <w:r>
        <w:rPr>
          <w:color w:val="000000"/>
          <w:szCs w:val="21"/>
        </w:rPr>
        <w:t>闲置厂房进行生产</w:t>
      </w:r>
      <w:r>
        <w:rPr>
          <w:rFonts w:hint="eastAsia" w:ascii="仿宋_GB2312"/>
          <w:szCs w:val="32"/>
        </w:rPr>
        <w:t>，</w:t>
      </w:r>
      <w:r>
        <w:rPr>
          <w:rFonts w:hint="eastAsia" w:ascii="仿宋_GB2312"/>
          <w:szCs w:val="32"/>
          <w:lang w:eastAsia="zh-CN"/>
        </w:rPr>
        <w:t>年生产铁件工艺品</w:t>
      </w:r>
      <w:r>
        <w:rPr>
          <w:rFonts w:hint="eastAsia" w:ascii="仿宋_GB2312"/>
          <w:szCs w:val="32"/>
          <w:lang w:val="en-US" w:eastAsia="zh-CN"/>
        </w:rPr>
        <w:t>20万件</w:t>
      </w:r>
      <w:r>
        <w:rPr>
          <w:rFonts w:hint="eastAsia"/>
        </w:rPr>
        <w:t>，</w:t>
      </w:r>
      <w:r>
        <w:rPr>
          <w:rFonts w:hint="eastAsia" w:ascii="仿宋_GB2312"/>
          <w:szCs w:val="32"/>
        </w:rPr>
        <w:t>具体建设内容和生产设备以报告表为准。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建设符合国家产业政策，选址符合洛江片区单元控制性详细规划。在全面严格落实报告表提出的各项生态环境保护措施后，该项目所产生的不利生态环境影响可以得到有效缓解和控制。从环境保护角度，我局原则同意报告表总体结论和生态环境保护对策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</w:rPr>
        <w:t>2、项目</w:t>
      </w:r>
      <w:r>
        <w:rPr>
          <w:rFonts w:hint="eastAsia" w:ascii="仿宋_GB2312" w:hAnsi="Times New Roman" w:eastAsia="仿宋_GB2312" w:cs="Times New Roman"/>
          <w:sz w:val="32"/>
          <w:lang w:eastAsia="zh-CN"/>
        </w:rPr>
        <w:t>喷淋塔更换废液作为危险废物处置</w:t>
      </w:r>
      <w:r>
        <w:rPr>
          <w:rFonts w:hint="eastAsia" w:ascii="仿宋_GB2312" w:eastAsia="仿宋_GB2312"/>
          <w:sz w:val="32"/>
        </w:rPr>
        <w:t>；生活污水</w:t>
      </w:r>
      <w:r>
        <w:rPr>
          <w:rFonts w:hint="eastAsia" w:ascii="仿宋_GB2312" w:eastAsia="仿宋_GB2312"/>
          <w:sz w:val="32"/>
          <w:szCs w:val="32"/>
        </w:rPr>
        <w:t>排放执行《污水综合排放标准》（GB8978-1996）表4中的三级标准，其中氨氮指标执行《污水排入城镇下水道水质标准》（GB/T31962-2015）表1的B级标准，达标后通过市政污水管网排入污水处理厂处理</w:t>
      </w:r>
      <w:r>
        <w:rPr>
          <w:rFonts w:hint="eastAsia" w:ascii="仿宋_GB2312" w:hAnsi="宋体" w:eastAsia="仿宋_GB2312" w:cs="宋体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</w:rPr>
        <w:t>3、生产过程中</w:t>
      </w:r>
      <w:r>
        <w:rPr>
          <w:rFonts w:ascii="仿宋_GB2312" w:eastAsia="仿宋_GB2312"/>
          <w:sz w:val="32"/>
          <w:szCs w:val="32"/>
        </w:rPr>
        <w:t>含挥发性有机物废气</w:t>
      </w:r>
      <w:r>
        <w:rPr>
          <w:rFonts w:hint="eastAsia" w:ascii="仿宋_GB2312" w:eastAsia="仿宋_GB2312"/>
          <w:sz w:val="32"/>
          <w:szCs w:val="32"/>
        </w:rPr>
        <w:t>产生的工序</w:t>
      </w:r>
      <w:r>
        <w:rPr>
          <w:rFonts w:ascii="仿宋_GB2312" w:eastAsia="仿宋_GB2312"/>
          <w:sz w:val="32"/>
          <w:szCs w:val="32"/>
        </w:rPr>
        <w:t>，应当在密闭空间或者设备中进行，并按照规定安装、使用污染防治设施；无法密闭的，应当采取措施减少废气排放</w:t>
      </w:r>
      <w:r>
        <w:rPr>
          <w:rFonts w:hint="eastAsia" w:ascii="仿宋_GB2312" w:eastAsia="仿宋_GB2312"/>
          <w:sz w:val="32"/>
          <w:szCs w:val="32"/>
        </w:rPr>
        <w:t>。项目调漆、喷漆、</w:t>
      </w:r>
      <w:r>
        <w:rPr>
          <w:rFonts w:hint="eastAsia" w:ascii="仿宋_GB2312" w:eastAsia="仿宋_GB2312"/>
          <w:sz w:val="32"/>
          <w:szCs w:val="32"/>
          <w:lang w:eastAsia="zh-CN"/>
        </w:rPr>
        <w:t>彩绘、</w:t>
      </w:r>
      <w:r>
        <w:rPr>
          <w:rFonts w:hint="eastAsia" w:ascii="仿宋_GB2312" w:eastAsia="仿宋_GB2312"/>
          <w:sz w:val="32"/>
          <w:szCs w:val="32"/>
        </w:rPr>
        <w:t>晾干工序产生的</w:t>
      </w:r>
      <w:r>
        <w:rPr>
          <w:rFonts w:hint="eastAsia" w:ascii="仿宋_GB2312" w:hAnsi="Times New Roman" w:eastAsia="仿宋_GB2312" w:cs="Times New Roman"/>
          <w:sz w:val="32"/>
          <w:szCs w:val="32"/>
        </w:rPr>
        <w:t>二</w:t>
      </w:r>
      <w:r>
        <w:rPr>
          <w:rFonts w:ascii="仿宋_GB2312" w:hAnsi="Times New Roman" w:eastAsia="仿宋_GB2312" w:cs="Times New Roman"/>
          <w:sz w:val="32"/>
          <w:szCs w:val="32"/>
        </w:rPr>
        <w:t>甲苯、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乙酸乙酯与乙酸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丁酯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合计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有组织</w:t>
      </w:r>
      <w:r>
        <w:rPr>
          <w:rFonts w:hint="eastAsia" w:ascii="仿宋_GB2312" w:hAnsi="Times New Roman" w:eastAsia="仿宋_GB2312" w:cs="Times New Roman"/>
          <w:sz w:val="32"/>
          <w:szCs w:val="32"/>
        </w:rPr>
        <w:t>排放执</w:t>
      </w:r>
      <w:r>
        <w:rPr>
          <w:rFonts w:hint="eastAsia" w:ascii="仿宋_GB2312" w:eastAsia="仿宋_GB2312"/>
          <w:sz w:val="32"/>
          <w:szCs w:val="32"/>
        </w:rPr>
        <w:t>行</w:t>
      </w:r>
      <w:r>
        <w:rPr>
          <w:rFonts w:hint="eastAsia" w:ascii="仿宋_GB2312" w:eastAsia="仿宋_GB2312"/>
          <w:sz w:val="32"/>
        </w:rPr>
        <w:t>《工业涂装工序挥发性有机物排放标准》（DB35/1783-2018）表1“涉涂装工序的其他行业”排放限值要求；</w:t>
      </w:r>
      <w:r>
        <w:rPr>
          <w:rFonts w:hint="eastAsia" w:ascii="仿宋_GB2312" w:eastAsia="仿宋_GB2312"/>
          <w:sz w:val="32"/>
          <w:szCs w:val="32"/>
        </w:rPr>
        <w:t>调漆、喷漆、</w:t>
      </w:r>
      <w:r>
        <w:rPr>
          <w:rFonts w:hint="eastAsia" w:ascii="仿宋_GB2312" w:eastAsia="仿宋_GB2312"/>
          <w:sz w:val="32"/>
          <w:szCs w:val="32"/>
          <w:lang w:eastAsia="zh-CN"/>
        </w:rPr>
        <w:t>彩绘、</w:t>
      </w:r>
      <w:r>
        <w:rPr>
          <w:rFonts w:hint="eastAsia" w:ascii="仿宋_GB2312" w:eastAsia="仿宋_GB2312"/>
          <w:sz w:val="32"/>
          <w:szCs w:val="32"/>
        </w:rPr>
        <w:t>晾干</w:t>
      </w:r>
      <w:r>
        <w:rPr>
          <w:rFonts w:hint="eastAsia" w:ascii="仿宋_GB2312" w:eastAsia="仿宋_GB2312"/>
          <w:sz w:val="32"/>
          <w:szCs w:val="32"/>
          <w:lang w:eastAsia="zh-CN"/>
        </w:rPr>
        <w:t>、打印</w:t>
      </w:r>
      <w:r>
        <w:rPr>
          <w:rFonts w:hint="eastAsia" w:ascii="仿宋_GB2312" w:eastAsia="仿宋_GB2312"/>
          <w:sz w:val="32"/>
          <w:szCs w:val="32"/>
        </w:rPr>
        <w:t>工序产生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lang w:eastAsia="zh-CN"/>
        </w:rPr>
        <w:t>非甲烷总烃有组织排放执行《印刷行业挥发性有机物排放标准》（</w:t>
      </w:r>
      <w:r>
        <w:rPr>
          <w:rFonts w:hint="eastAsia" w:ascii="仿宋_GB2312" w:eastAsia="仿宋_GB2312"/>
          <w:sz w:val="32"/>
          <w:lang w:val="en-US" w:eastAsia="zh-CN"/>
        </w:rPr>
        <w:t>DB35/1784-2018</w:t>
      </w:r>
      <w:r>
        <w:rPr>
          <w:rFonts w:hint="eastAsia" w:ascii="仿宋_GB2312" w:eastAsia="仿宋_GB2312"/>
          <w:sz w:val="32"/>
          <w:lang w:eastAsia="zh-CN"/>
        </w:rPr>
        <w:t>）表</w:t>
      </w:r>
      <w:r>
        <w:rPr>
          <w:rFonts w:hint="eastAsia" w:ascii="仿宋_GB2312" w:eastAsia="仿宋_GB2312"/>
          <w:sz w:val="32"/>
          <w:lang w:val="en-US" w:eastAsia="zh-CN"/>
        </w:rPr>
        <w:t>1排放限值要求。</w:t>
      </w:r>
      <w:r>
        <w:rPr>
          <w:rFonts w:hint="eastAsia" w:ascii="仿宋_GB2312" w:eastAsia="仿宋_GB2312"/>
          <w:sz w:val="32"/>
        </w:rPr>
        <w:t>部分未收集</w:t>
      </w:r>
      <w:r>
        <w:rPr>
          <w:rFonts w:hint="eastAsia" w:ascii="仿宋_GB2312" w:eastAsia="仿宋_GB2312"/>
          <w:sz w:val="32"/>
          <w:lang w:eastAsia="zh-CN"/>
        </w:rPr>
        <w:t>二甲苯、乙酸乙酯</w:t>
      </w:r>
      <w:r>
        <w:rPr>
          <w:rFonts w:hint="eastAsia" w:ascii="仿宋_GB2312" w:eastAsia="仿宋_GB2312"/>
          <w:sz w:val="32"/>
        </w:rPr>
        <w:t>无组织排放执行《工业涂装工序挥发性有机物排放标准》（DB35/1783-2018）中表3和表4相应监控点浓度限值</w:t>
      </w:r>
      <w:r>
        <w:rPr>
          <w:rFonts w:hint="eastAsia" w:ascii="仿宋_GB2312" w:eastAsia="仿宋_GB2312"/>
          <w:sz w:val="32"/>
          <w:lang w:eastAsia="zh-CN"/>
        </w:rPr>
        <w:t>；部分未收集非甲烷总烃无组织排放执行《印刷行业挥发性有机物排放标准》（</w:t>
      </w:r>
      <w:r>
        <w:rPr>
          <w:rFonts w:hint="eastAsia" w:ascii="仿宋_GB2312" w:eastAsia="仿宋_GB2312"/>
          <w:sz w:val="32"/>
          <w:lang w:val="en-US" w:eastAsia="zh-CN"/>
        </w:rPr>
        <w:t>DB35/1784-2018</w:t>
      </w:r>
      <w:r>
        <w:rPr>
          <w:rFonts w:hint="eastAsia" w:ascii="仿宋_GB2312" w:eastAsia="仿宋_GB2312"/>
          <w:sz w:val="32"/>
          <w:lang w:eastAsia="zh-CN"/>
        </w:rPr>
        <w:t>）中</w:t>
      </w:r>
      <w:r>
        <w:rPr>
          <w:rFonts w:hint="eastAsia" w:ascii="仿宋_GB2312" w:eastAsia="仿宋_GB2312"/>
          <w:sz w:val="32"/>
        </w:rPr>
        <w:t>表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r>
        <w:rPr>
          <w:rFonts w:hint="eastAsia" w:ascii="仿宋_GB2312" w:eastAsia="仿宋_GB2312"/>
          <w:sz w:val="32"/>
        </w:rPr>
        <w:t>和表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>相应监控点浓度限值及《挥发性有机物无组织排放控制标准》（GB37822-2019）表A.1“厂区内监控点处任意一次NMHC浓度值”要求。</w:t>
      </w:r>
      <w:r>
        <w:rPr>
          <w:rFonts w:hint="eastAsia" w:ascii="仿宋_GB2312" w:eastAsia="仿宋_GB2312"/>
          <w:sz w:val="32"/>
          <w:lang w:eastAsia="zh-CN"/>
        </w:rPr>
        <w:t>焊接、打磨、</w:t>
      </w:r>
      <w:r>
        <w:rPr>
          <w:rFonts w:hint="eastAsia" w:ascii="仿宋_GB2312" w:eastAsia="仿宋_GB2312"/>
          <w:sz w:val="32"/>
          <w:szCs w:val="32"/>
        </w:rPr>
        <w:t>喷漆工序</w:t>
      </w:r>
      <w:r>
        <w:rPr>
          <w:rFonts w:hint="eastAsia" w:ascii="仿宋_GB2312" w:eastAsia="仿宋_GB2312"/>
          <w:sz w:val="32"/>
        </w:rPr>
        <w:t>产生的颗粒物排放执行</w:t>
      </w:r>
      <w:r>
        <w:rPr>
          <w:rFonts w:hint="eastAsia" w:ascii="仿宋_GB2312" w:eastAsia="仿宋_GB2312"/>
          <w:sz w:val="32"/>
          <w:szCs w:val="32"/>
        </w:rPr>
        <w:t>《大气污染物综合排放标准</w:t>
      </w:r>
      <w:r>
        <w:rPr>
          <w:rFonts w:hint="eastAsia" w:ascii="仿宋_GB2312" w:eastAsia="仿宋_GB2312"/>
          <w:sz w:val="32"/>
        </w:rPr>
        <w:t>》</w:t>
      </w:r>
      <w:r>
        <w:rPr>
          <w:rFonts w:hint="eastAsia" w:ascii="仿宋_GB2312" w:eastAsia="仿宋_GB2312"/>
          <w:sz w:val="32"/>
          <w:szCs w:val="32"/>
        </w:rPr>
        <w:t>（GB16297-1996）表2排放限值要求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4、主要噪声源必须采取消声减振措施，厂界噪声排放执行《工业企业厂界环境噪声排放标准》（GB12348-2008）2类标准。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5、</w:t>
      </w:r>
      <w:r>
        <w:rPr>
          <w:rFonts w:hint="eastAsia" w:ascii="仿宋_GB2312" w:eastAsia="仿宋_GB2312"/>
          <w:sz w:val="32"/>
          <w:szCs w:val="32"/>
        </w:rPr>
        <w:t>工业固体废物贮存、处置执行《一般工业固体废物贮存和填埋污染控制标准》（GB18599-2020）；危险废物贮存执行《危险废物贮存污染控制标准》（GB18597-2001）及其2013年修改单相关要求，并委托有资质单位进行处置。生活垃圾处置执行《中华人民共和国固体废物污染环境防治法》（2020年4月29日修订）相关规定。按“减量化、资源化、无害化”原则落实各类固体废物的收集、贮存、处置和综合利用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6、污染物排放口应按有关规范设置。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</w:t>
      </w:r>
      <w:r>
        <w:rPr>
          <w:rFonts w:ascii="仿宋_GB2312" w:eastAsia="仿宋_GB2312"/>
          <w:sz w:val="32"/>
          <w:szCs w:val="32"/>
        </w:rPr>
        <w:t>新增VOCs排放量为</w:t>
      </w:r>
      <w:r>
        <w:rPr>
          <w:rFonts w:hint="eastAsia" w:ascii="仿宋_GB2312" w:eastAsia="仿宋_GB2312"/>
          <w:sz w:val="32"/>
          <w:szCs w:val="32"/>
        </w:rPr>
        <w:t>0.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2513</w:t>
      </w:r>
      <w:r>
        <w:rPr>
          <w:rFonts w:ascii="仿宋_GB2312" w:eastAsia="仿宋_GB2312"/>
          <w:sz w:val="32"/>
          <w:szCs w:val="32"/>
        </w:rPr>
        <w:t>吨/年。实行1.2倍削减替代，即</w:t>
      </w:r>
      <w:r>
        <w:rPr>
          <w:rFonts w:hint="eastAsia" w:ascii="仿宋_GB2312" w:eastAsia="仿宋_GB2312"/>
          <w:sz w:val="32"/>
          <w:szCs w:val="32"/>
        </w:rPr>
        <w:t>0.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3516</w:t>
      </w:r>
      <w:r>
        <w:rPr>
          <w:rFonts w:ascii="仿宋_GB2312" w:eastAsia="仿宋_GB2312"/>
          <w:sz w:val="32"/>
          <w:szCs w:val="32"/>
        </w:rPr>
        <w:t>吨/年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项目应在取得VOCs排放量倍量削减替代来源后，方可投入生产，并将替代方案落实到排污许可证中，纳入环境执法管理。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</w:rPr>
        <w:t>8、</w:t>
      </w:r>
      <w:r>
        <w:rPr>
          <w:rFonts w:hint="eastAsia" w:ascii="仿宋_GB2312" w:eastAsia="仿宋_GB2312"/>
          <w:sz w:val="32"/>
          <w:szCs w:val="32"/>
        </w:rPr>
        <w:t>应严格执行环保“三同时”制度。</w:t>
      </w:r>
      <w:r>
        <w:rPr>
          <w:rFonts w:hint="eastAsia" w:ascii="仿宋_GB2312" w:eastAsia="仿宋_GB2312"/>
          <w:color w:val="000000"/>
          <w:sz w:val="32"/>
          <w:szCs w:val="32"/>
        </w:rPr>
        <w:t>在投入生产或产生实际排污行为之前应依法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办理排污许可手续</w:t>
      </w:r>
      <w:r>
        <w:rPr>
          <w:rFonts w:hint="eastAsia" w:ascii="仿宋_GB2312" w:eastAsia="仿宋_GB2312"/>
          <w:color w:val="000000"/>
          <w:sz w:val="32"/>
          <w:szCs w:val="32"/>
        </w:rPr>
        <w:t>。投入生产后依法组织开展竣工环境保护验收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</w:rPr>
        <w:t>9、若项目的</w:t>
      </w:r>
      <w:r>
        <w:rPr>
          <w:rFonts w:hint="eastAsia" w:eastAsia="仿宋_GB2312"/>
          <w:sz w:val="32"/>
        </w:rPr>
        <w:t>性质、规模、地点、采用的生产工艺或者防治污染、防止生态破坏的措施发生重大变动，应</w:t>
      </w:r>
      <w:r>
        <w:rPr>
          <w:rFonts w:hint="eastAsia" w:ascii="仿宋_GB2312" w:eastAsia="仿宋_GB2312"/>
          <w:sz w:val="32"/>
        </w:rPr>
        <w:t>重新办理环境影响评价审批手续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640"/>
        <w:jc w:val="righ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640"/>
        <w:jc w:val="righ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640"/>
        <w:jc w:val="righ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泉州市生态环境局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2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22年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月 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  <w:r>
      <w:rPr>
        <w:rFonts w:hint="eastAsia"/>
        <w:sz w:val="21"/>
        <w:szCs w:val="21"/>
      </w:rPr>
      <w:t>页共3页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09"/>
    <w:rsid w:val="00060EC5"/>
    <w:rsid w:val="00075313"/>
    <w:rsid w:val="000C4BBF"/>
    <w:rsid w:val="001224F9"/>
    <w:rsid w:val="00142EFA"/>
    <w:rsid w:val="002E492C"/>
    <w:rsid w:val="00304552"/>
    <w:rsid w:val="0034595B"/>
    <w:rsid w:val="00370C34"/>
    <w:rsid w:val="004078EE"/>
    <w:rsid w:val="004F686F"/>
    <w:rsid w:val="00511F65"/>
    <w:rsid w:val="00583972"/>
    <w:rsid w:val="00595448"/>
    <w:rsid w:val="0063321B"/>
    <w:rsid w:val="00682A9A"/>
    <w:rsid w:val="00A47BB7"/>
    <w:rsid w:val="00AA59ED"/>
    <w:rsid w:val="00B63424"/>
    <w:rsid w:val="00BB73F5"/>
    <w:rsid w:val="00C06608"/>
    <w:rsid w:val="00C83764"/>
    <w:rsid w:val="00CC0E09"/>
    <w:rsid w:val="00CD1623"/>
    <w:rsid w:val="00DC796A"/>
    <w:rsid w:val="00DD3C99"/>
    <w:rsid w:val="01BA065F"/>
    <w:rsid w:val="1A6F57D5"/>
    <w:rsid w:val="204C0A1A"/>
    <w:rsid w:val="258279C9"/>
    <w:rsid w:val="27205AAB"/>
    <w:rsid w:val="2848345E"/>
    <w:rsid w:val="351D6058"/>
    <w:rsid w:val="37007ADE"/>
    <w:rsid w:val="55F751C0"/>
    <w:rsid w:val="73DB210B"/>
    <w:rsid w:val="749C0FD5"/>
    <w:rsid w:val="7ECC6A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rPr>
      <w:rFonts w:eastAsia="仿宋_GB2312"/>
      <w:sz w:val="32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qFormat/>
    <w:uiPriority w:val="0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sz w:val="18"/>
      <w:szCs w:val="18"/>
    </w:rPr>
  </w:style>
  <w:style w:type="character" w:customStyle="1" w:styleId="11">
    <w:name w:val="正文文本 Char"/>
    <w:basedOn w:val="7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2">
    <w:name w:val="批注框文本 Char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207</Words>
  <Characters>1183</Characters>
  <Lines>9</Lines>
  <Paragraphs>2</Paragraphs>
  <TotalTime>3</TotalTime>
  <ScaleCrop>false</ScaleCrop>
  <LinksUpToDate>false</LinksUpToDate>
  <CharactersWithSpaces>1388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2022-05-07T03:03:00Z</dcterms:created>
  <dc:creator>Sky123.Org</dc:creator>
  <cp:lastModifiedBy>Administrator</cp:lastModifiedBy>
  <cp:lastPrinted>2022-02-23T06:14:00Z</cp:lastPrinted>
  <dcterms:modified xsi:type="dcterms:W3CDTF">2022-10-24T07:14:47Z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